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Nghị định số 31/2017/NĐ-CP 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p>
    <w:p>
      <w:r/>
    </w:p>
    <w:p>
      <w:r/>
      <w:r/>
      <w:r/>
      <w:r/>
    </w:p>
    <w:tbl>
      <w:tblPr>
        <w:tblW w:type="auto" w:w="0"/>
        <w:tblLook w:firstColumn="1" w:firstRow="1" w:lastColumn="0" w:lastRow="0" w:noHBand="0" w:noVBand="1" w:val="04A0"/>
      </w:tblPr>
      <w:tblGrid>
        <w:gridCol w:w="4320"/>
        <w:gridCol w:w="4320"/>
      </w:tblGrid>
      <w:tr>
        <w:tc>
          <w:tcPr>
            <w:tcW w:type="dxa" w:w="4320"/>
          </w:tcPr>
          <w:p>
            <w:r/>
          </w:p>
          <w:p>
            <w:pPr>
              <w:jc w:val="center"/>
            </w:pPr>
            <w:r/>
            <w:r>
              <w:t>CHÍNH PHỦ</w:t>
            </w:r>
            <w:r/>
          </w:p>
          <w:p>
            <w:pPr>
              <w:jc w:val="center"/>
            </w:pPr>
            <w:r/>
            <w:r/>
          </w:p>
        </w:tc>
        <w:tc>
          <w:tcPr>
            <w:tcW w:type="dxa" w:w="4320"/>
          </w:tcPr>
          <w:p>
            <w:r/>
          </w:p>
          <w:p>
            <w:pPr>
              <w:jc w:val="center"/>
            </w:pPr>
            <w:r/>
            <w:r>
              <w:t>CỘNG HÒA XÃ HỘI CHỦ NGHĨA VIỆT NAM</w:t>
            </w:r>
            <w:r/>
          </w:p>
          <w:p>
            <w:pPr>
              <w:jc w:val="center"/>
            </w:pPr>
            <w:r/>
            <w:r>
              <w:t>Độc lập – Tự do – Hạnh phúc</w:t>
            </w:r>
            <w:r/>
          </w:p>
          <w:p>
            <w:pPr>
              <w:jc w:val="center"/>
            </w:pPr>
            <w:r/>
            <w:r/>
          </w:p>
        </w:tc>
      </w:tr>
    </w:tbl>
    <w:p>
      <w:r/>
    </w:p>
    <w:tbl>
      <w:tblPr>
        <w:tblW w:type="auto" w:w="0"/>
        <w:tblLook w:firstColumn="1" w:firstRow="1" w:lastColumn="0" w:lastRow="0" w:noHBand="0" w:noVBand="1" w:val="04A0"/>
      </w:tblPr>
      <w:tblGrid>
        <w:gridCol w:w="4320"/>
        <w:gridCol w:w="4320"/>
      </w:tblGrid>
      <w:tr>
        <w:tc>
          <w:tcPr>
            <w:tcW w:type="dxa" w:w="4320"/>
          </w:tcPr>
          <w:p>
            <w:r>
              <w:t>Số: 31/2017/NĐ-CP</w:t>
            </w:r>
          </w:p>
        </w:tc>
        <w:tc>
          <w:tcPr>
            <w:tcW w:type="dxa" w:w="4320"/>
          </w:tcPr>
          <w:p>
            <w:r>
              <w:t>Hà Nội, ngày 23 tháng 3 năm 2017</w:t>
            </w:r>
          </w:p>
        </w:tc>
      </w:tr>
    </w:tbl>
    <w:p>
      <w:r/>
      <w:r/>
      <w:r/>
    </w:p>
    <w:p>
      <w:r/>
      <w:r/>
    </w:p>
    <w:p>
      <w:pPr>
        <w:jc w:val="center"/>
      </w:pPr>
      <w:r/>
      <w:r>
        <w:rPr>
          <w:b/>
        </w:rPr>
        <w:t>NGHỊ ĐỊNH</w:t>
      </w:r>
      <w:r/>
    </w:p>
    <w:p>
      <w:pPr>
        <w:jc w:val="center"/>
      </w:pPr>
      <w:r/>
      <w:r>
        <w:rPr>
          <w:b/>
        </w:rPr>
        <w:t>Ban hành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w:t>
      </w:r>
      <w:r/>
    </w:p>
    <w:p>
      <w:r/>
      <w:r>
        <w:rPr>
          <w:b/>
          <w:vertAlign w:val="superscript"/>
        </w:rPr>
        <w:t>__________</w:t>
      </w:r>
      <w:r>
        <w:t xml:space="preserve"> </w:t>
      </w:r>
      <w:r/>
    </w:p>
    <w:p>
      <w:pPr>
        <w:jc w:val="both"/>
      </w:pPr>
      <w:r/>
      <w:r>
        <w:rPr>
          <w:i/>
        </w:rPr>
        <w:t>Căn cứ</w:t>
      </w:r>
      <w:r>
        <w:rPr>
          <w:i/>
        </w:rPr>
        <w:t xml:space="preserve"> </w:t>
      </w:r>
      <w:r>
        <w:rPr>
          <w:i/>
        </w:rPr>
        <w:t>Luật tổ chức Chính phủ</w:t>
      </w:r>
      <w:r>
        <w:rPr>
          <w:i/>
        </w:rPr>
        <w:t xml:space="preserve"> </w:t>
      </w:r>
      <w:r>
        <w:rPr>
          <w:i/>
        </w:rPr>
        <w:t>ngày 19 tháng 6 năm 2015;</w:t>
      </w:r>
      <w:r/>
    </w:p>
    <w:p>
      <w:pPr>
        <w:jc w:val="both"/>
      </w:pPr>
      <w:r/>
      <w:r>
        <w:rPr>
          <w:i/>
        </w:rPr>
        <w:t>Căn cứ</w:t>
      </w:r>
      <w:r>
        <w:rPr>
          <w:i/>
        </w:rPr>
        <w:t xml:space="preserve"> </w:t>
      </w:r>
      <w:r>
        <w:rPr>
          <w:i/>
        </w:rPr>
        <w:t>Luật tổ chức chính q</w:t>
      </w:r>
      <w:r>
        <w:rPr>
          <w:i/>
        </w:rPr>
        <w:t>u</w:t>
      </w:r>
      <w:r>
        <w:rPr>
          <w:i/>
        </w:rPr>
        <w:t>yền địa phương</w:t>
      </w:r>
      <w:r>
        <w:rPr>
          <w:i/>
        </w:rPr>
        <w:t xml:space="preserve"> </w:t>
      </w:r>
      <w:r>
        <w:rPr>
          <w:i/>
        </w:rPr>
        <w:t>ngày 19 tháng 6 năm 2015;</w:t>
      </w:r>
      <w:r/>
    </w:p>
    <w:p>
      <w:pPr>
        <w:jc w:val="both"/>
      </w:pPr>
      <w:r/>
      <w:r>
        <w:rPr>
          <w:i/>
        </w:rPr>
        <w:t>Căn cứ</w:t>
      </w:r>
      <w:r>
        <w:rPr>
          <w:i/>
        </w:rPr>
        <w:t xml:space="preserve"> </w:t>
      </w:r>
      <w:r>
        <w:rPr>
          <w:i/>
        </w:rPr>
        <w:t>Luật ngâ</w:t>
      </w:r>
      <w:r>
        <w:rPr>
          <w:i/>
        </w:rPr>
        <w:t xml:space="preserve">n </w:t>
      </w:r>
      <w:r>
        <w:rPr>
          <w:i/>
        </w:rPr>
        <w:t>sách nhà nước</w:t>
      </w:r>
      <w:r>
        <w:rPr>
          <w:i/>
        </w:rPr>
        <w:t xml:space="preserve"> </w:t>
      </w:r>
      <w:r>
        <w:rPr>
          <w:i/>
        </w:rPr>
        <w:t>ngày 25 tháng 6 năm 2015;</w:t>
      </w:r>
      <w:r/>
    </w:p>
    <w:p>
      <w:pPr>
        <w:jc w:val="both"/>
      </w:pPr>
      <w:r/>
      <w:r>
        <w:rPr>
          <w:i/>
        </w:rPr>
        <w:t>Căn cứ</w:t>
      </w:r>
      <w:r>
        <w:rPr>
          <w:i/>
        </w:rPr>
        <w:t xml:space="preserve"> </w:t>
      </w:r>
      <w:r>
        <w:rPr>
          <w:i/>
        </w:rPr>
        <w:t>Luật đầu</w:t>
      </w:r>
      <w:r>
        <w:rPr>
          <w:i/>
        </w:rPr>
        <w:t xml:space="preserve"> </w:t>
      </w:r>
      <w:r>
        <w:rPr>
          <w:i/>
        </w:rPr>
        <w:t xml:space="preserve">tư </w:t>
      </w:r>
      <w:r>
        <w:rPr>
          <w:i/>
        </w:rPr>
        <w:t>công</w:t>
      </w:r>
      <w:r>
        <w:rPr>
          <w:i/>
        </w:rPr>
        <w:t xml:space="preserve"> </w:t>
      </w:r>
      <w:r>
        <w:rPr>
          <w:i/>
        </w:rPr>
        <w:t>ngày 18 tháng 6 năm 2014;</w:t>
      </w:r>
      <w:r/>
    </w:p>
    <w:p>
      <w:pPr>
        <w:jc w:val="both"/>
      </w:pPr>
      <w:r/>
      <w:r>
        <w:rPr>
          <w:i/>
        </w:rPr>
        <w:t>Căn cứ Nghị quyết số</w:t>
      </w:r>
      <w:r>
        <w:rPr>
          <w:i/>
        </w:rPr>
        <w:t xml:space="preserve"> </w:t>
      </w:r>
      <w:r>
        <w:rPr>
          <w:i/>
        </w:rPr>
        <w:t>343/2017/UBTVQH</w:t>
      </w:r>
      <w:r>
        <w:rPr>
          <w:i/>
        </w:rPr>
        <w:t>1</w:t>
      </w:r>
      <w:r>
        <w:rPr>
          <w:i/>
        </w:rPr>
        <w:t>4</w:t>
      </w:r>
      <w:r>
        <w:rPr>
          <w:i/>
        </w:rPr>
        <w:t xml:space="preserve"> </w:t>
      </w:r>
      <w:r>
        <w:rPr>
          <w:i/>
        </w:rPr>
        <w:t>ngày 19 tháng 01 năm 2017</w:t>
      </w:r>
      <w:r>
        <w:rPr>
          <w:i/>
        </w:rPr>
        <w:t xml:space="preserve"> </w:t>
      </w:r>
      <w:r>
        <w:rPr>
          <w:i/>
        </w:rPr>
        <w:t>của Ủy ban thườ</w:t>
      </w:r>
      <w:r>
        <w:rPr>
          <w:i/>
        </w:rPr>
        <w:t>ng</w:t>
      </w:r>
      <w:r>
        <w:rPr>
          <w:i/>
        </w:rPr>
        <w:t xml:space="preserve"> </w:t>
      </w:r>
      <w:r>
        <w:rPr>
          <w:i/>
        </w:rPr>
        <w:t>vụ</w:t>
      </w:r>
      <w:r>
        <w:rPr>
          <w:i/>
        </w:rPr>
        <w:t xml:space="preserve"> </w:t>
      </w:r>
      <w:r>
        <w:rPr>
          <w:i/>
        </w:rPr>
        <w:t>Quốc hội khóa XIV về</w:t>
      </w:r>
      <w:r>
        <w:rPr>
          <w:i/>
        </w:rPr>
        <w:t xml:space="preserve"> </w:t>
      </w:r>
      <w:r>
        <w:rPr>
          <w:i/>
        </w:rPr>
        <w:t>l</w:t>
      </w:r>
      <w:r>
        <w:rPr>
          <w:i/>
        </w:rPr>
        <w:t>ập, thẩm tra, quyết định kế</w:t>
      </w:r>
      <w:r>
        <w:rPr>
          <w:i/>
        </w:rPr>
        <w:t xml:space="preserve"> </w:t>
      </w:r>
      <w:r>
        <w:rPr>
          <w:i/>
        </w:rPr>
        <w:t>hoạch tài chính 05</w:t>
      </w:r>
      <w:r>
        <w:rPr>
          <w:i/>
        </w:rPr>
        <w:t xml:space="preserve"> </w:t>
      </w:r>
      <w:r>
        <w:rPr>
          <w:i/>
        </w:rPr>
        <w:t>nă</w:t>
      </w:r>
      <w:r>
        <w:rPr>
          <w:i/>
        </w:rPr>
        <w:t>m quốc gia, kế hoạch đ</w:t>
      </w:r>
      <w:r>
        <w:rPr>
          <w:i/>
        </w:rPr>
        <w:t>ầ</w:t>
      </w:r>
      <w:r>
        <w:rPr>
          <w:i/>
        </w:rPr>
        <w:t>u tư công trung hạn 05 năm</w:t>
      </w:r>
      <w:r>
        <w:rPr>
          <w:i/>
        </w:rPr>
        <w:t xml:space="preserve"> </w:t>
      </w:r>
      <w:r>
        <w:rPr>
          <w:i/>
        </w:rPr>
        <w:t>quốc gia, kế hoạ</w:t>
      </w:r>
      <w:r>
        <w:rPr>
          <w:i/>
        </w:rPr>
        <w:t>ch</w:t>
      </w:r>
      <w:r>
        <w:rPr>
          <w:i/>
        </w:rPr>
        <w:t xml:space="preserve"> </w:t>
      </w:r>
      <w:r>
        <w:rPr>
          <w:i/>
        </w:rPr>
        <w:t>tài</w:t>
      </w:r>
      <w:r>
        <w:rPr>
          <w:i/>
        </w:rPr>
        <w:t xml:space="preserve"> </w:t>
      </w:r>
      <w:r>
        <w:rPr>
          <w:i/>
        </w:rPr>
        <w:t>ch</w:t>
      </w:r>
      <w:r>
        <w:rPr>
          <w:i/>
        </w:rPr>
        <w:t>í</w:t>
      </w:r>
      <w:r>
        <w:rPr>
          <w:i/>
        </w:rPr>
        <w:t>nh - ngân sách nhà nước 03 năm quốc gia, dự toán</w:t>
      </w:r>
      <w:r>
        <w:rPr>
          <w:i/>
        </w:rPr>
        <w:t xml:space="preserve"> </w:t>
      </w:r>
      <w:r>
        <w:rPr>
          <w:i/>
        </w:rPr>
        <w:t>ngân sách nhà nước, phương án phân b</w:t>
      </w:r>
      <w:r>
        <w:rPr>
          <w:i/>
        </w:rPr>
        <w:t>ổ</w:t>
      </w:r>
      <w:r>
        <w:rPr>
          <w:i/>
        </w:rPr>
        <w:t xml:space="preserve"> </w:t>
      </w:r>
      <w:r>
        <w:rPr>
          <w:i/>
        </w:rPr>
        <w:t>ngân sách trung ương và phê chuẩn</w:t>
      </w:r>
      <w:r>
        <w:rPr>
          <w:i/>
        </w:rPr>
        <w:t xml:space="preserve"> </w:t>
      </w:r>
      <w:r>
        <w:rPr>
          <w:i/>
        </w:rPr>
        <w:t>quyết toán ngân sách nhà nước h</w:t>
      </w:r>
      <w:r>
        <w:rPr>
          <w:i/>
        </w:rPr>
        <w:t>ằ</w:t>
      </w:r>
      <w:r>
        <w:rPr>
          <w:i/>
        </w:rPr>
        <w:t>ng năm;</w:t>
      </w:r>
      <w:r/>
    </w:p>
    <w:p>
      <w:pPr>
        <w:jc w:val="both"/>
      </w:pPr>
      <w:r/>
      <w:r>
        <w:rPr>
          <w:i/>
        </w:rPr>
        <w:t>Theo đề nghị của Bộ trưởng Bộ Tài chính;</w:t>
      </w:r>
      <w:r/>
    </w:p>
    <w:p>
      <w:pPr>
        <w:jc w:val="both"/>
      </w:pPr>
      <w:r/>
      <w:r>
        <w:rPr>
          <w:i/>
        </w:rPr>
        <w:t>Chính phủ ban hành Nghị định về Quy chế</w:t>
      </w:r>
      <w:r>
        <w:rPr>
          <w:i/>
        </w:rPr>
        <w:t xml:space="preserve"> </w:t>
      </w:r>
      <w:r>
        <w:rPr>
          <w:i/>
        </w:rPr>
        <w:t>l</w:t>
      </w:r>
      <w:r>
        <w:rPr>
          <w:i/>
        </w:rPr>
        <w:t>ập, thẩm tra, quyết định kế hoạch</w:t>
      </w:r>
      <w:r>
        <w:rPr>
          <w:i/>
        </w:rPr>
        <w:t xml:space="preserve"> </w:t>
      </w:r>
      <w:r>
        <w:rPr>
          <w:i/>
        </w:rPr>
        <w:t>tài chính 05 năm địa phương, kế hoạch đầu tư công trung hạn 05 năm địa phương,</w:t>
      </w:r>
      <w:r>
        <w:rPr>
          <w:i/>
        </w:rPr>
        <w:t xml:space="preserve"> </w:t>
      </w:r>
      <w:r>
        <w:rPr>
          <w:i/>
        </w:rPr>
        <w:t>kế hoạch tài chính - ngân sách nhà nước 03 n</w:t>
      </w:r>
      <w:r>
        <w:rPr>
          <w:i/>
        </w:rPr>
        <w:t>ă</w:t>
      </w:r>
      <w:r>
        <w:rPr>
          <w:i/>
        </w:rPr>
        <w:t>m địa phương, dự toán và phân bổ</w:t>
      </w:r>
      <w:r>
        <w:rPr>
          <w:i/>
        </w:rPr>
        <w:t xml:space="preserve"> </w:t>
      </w:r>
      <w:r>
        <w:rPr>
          <w:i/>
        </w:rPr>
        <w:t>ngân sách địa phương, phê chuẩn quyết toán ngân sách địa phương hằng năm.</w:t>
      </w:r>
      <w:r/>
    </w:p>
    <w:p>
      <w:pPr>
        <w:jc w:val="both"/>
      </w:pPr>
      <w:r/>
      <w:r>
        <w:rPr>
          <w:b/>
        </w:rPr>
        <w:t xml:space="preserve">Điều 1. </w:t>
      </w:r>
      <w:r>
        <w:t>Ban hành kèm theo Nghị định này Quy chế lập, thẩm tra, quyết định kế hoạch tài chính 05 năm địa phương, kế hoạch đầu tư công trung hạn 05 năm địa phương, kế hoạch tài chính - ngân sách nhà nước 03 năm địa phương, dự toán và phân bổ ngân sách địa phương, phê chuẩn quyết toán ngân sách địa phương hằng năm và hệ thống biểu mẫu.</w:t>
      </w:r>
      <w:r/>
    </w:p>
    <w:p>
      <w:pPr>
        <w:jc w:val="both"/>
      </w:pPr>
      <w:r/>
      <w:r>
        <w:rPr>
          <w:b/>
        </w:rPr>
        <w:t>Điều 2. Điều khoản chuyển tiếp</w:t>
      </w:r>
      <w:r/>
    </w:p>
    <w:p>
      <w:pPr>
        <w:jc w:val="both"/>
      </w:pPr>
      <w:r/>
      <w:r>
        <w:t>Đối với lập, thẩm tra, phê chuẩn quyết toán ngân sách địa phương các năm 2015, 2016 áp dụng theo quy định của Luật ngân sách nhà nước số 01/2002/QH11 và Nghị định số 73/2003/NĐ-CP ngày 23 tháng 6 năm 2003 của Chính phủ.</w:t>
      </w:r>
      <w:r/>
    </w:p>
    <w:p>
      <w:pPr>
        <w:jc w:val="both"/>
      </w:pPr>
      <w:r/>
      <w:r>
        <w:rPr>
          <w:b/>
        </w:rPr>
        <w:t>Điều 3. Hiệu lực thi hành</w:t>
      </w:r>
      <w:r/>
    </w:p>
    <w:p>
      <w:pPr>
        <w:jc w:val="both"/>
      </w:pPr>
      <w:r/>
      <w:r>
        <w:t>1. Nghị định này có hiệu lực thi hành từ ngày 10 tháng 5 năm 2017 và áp dụng từ năm ngân sách 2017 đối với việc lập, thẩm tra, quyết định dự toán và phân bổ ngân sách địa phương, phê chuẩn quyết toán ngân sách địa phương hằng năm; từ năm ngân sách 2018 đối với việc lập kế hoạch tài chính - ngân sách nhà nước 03 năm địa phương; từ năm ngân sách 2021 đối với việc lập, thẩm tra, quyết định kế hoạch tài chính 05 năm địa phương và kế hoạch đầu tư công trung hạn 05 năm địa phương.</w:t>
      </w:r>
      <w:r/>
    </w:p>
    <w:p>
      <w:pPr>
        <w:jc w:val="both"/>
      </w:pPr>
      <w:r/>
      <w:r>
        <w:t>2. Bãi bỏ Nghị định số 73/2003/NĐ-CP ngày 23 tháng 6 năm 2003 của Chính phủ ban hành Quy chế xem xét, quyết định dự toán và phân bổ ngân sách địa phương, phê chuẩn quyết toán ngân sách địa phương.</w:t>
      </w:r>
      <w:r/>
    </w:p>
    <w:p>
      <w:pPr>
        <w:jc w:val="center"/>
      </w:pPr>
      <w:r/>
      <w:r>
        <w:rPr>
          <w:b/>
        </w:rPr>
        <w:t xml:space="preserve">Điều 4. </w:t>
      </w:r>
      <w:r>
        <w:t>Các Bộ trưởng, Thủ trưởng cơ quan ngang bộ, Thủ trưởng cơ quan thuộc Chính phủ, Hội đồng nhân dân, Ủy ban nhân dân các cấp chịu trách nhiệm thi hành Nghị định này./.</w:t>
      </w:r>
      <w:r/>
      <w:r/>
      <w:r/>
      <w:r/>
      <w:r>
        <w:t>TM. CHÍNH PHỦ</w:t>
        <w:br/>
      </w:r>
      <w:r>
        <w:t>THỦ TƯỚNG CHÍNH PHỦ</w:t>
      </w:r>
      <w:r/>
      <w:r>
        <w:t>(Đã ký)</w:t>
      </w:r>
      <w:r/>
      <w:r>
        <w:t>Nguyễn Xuân Phúc</w:t>
      </w:r>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