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796cf02c0194032e7acda408e486a2e121aa1d"/>
    <w:p>
      <w:pPr>
        <w:pStyle w:val="Heading1"/>
      </w:pPr>
      <w:r>
        <w:t xml:space="preserve">Quyết định số 03/2007/QĐ-BTC Về việc ban hành định mức hao hụt thóc bảo quản dự trữ quốc gia do Cục Dự trữ quốc gia trực tiếp quản lý</w:t>
      </w:r>
    </w:p>
    <w:p>
      <w:pPr>
        <w:pStyle w:val="FirstParagraph"/>
        <w:jc w:val="center"/>
      </w:pPr>
      <w:r>
        <w:t xml:space="preserve">BỘ TÀI CHÍNH</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03/2007/QĐ-BTC</w:t>
      </w:r>
    </w:p>
    <w:p>
      <w:pPr>
        <w:pStyle w:val="BodyText"/>
        <w:jc w:val="center"/>
      </w:pPr>
      <w:r>
        <w:t xml:space="preserve">Hà Nội, ngày 08 tháng 01 năm 2007</w:t>
      </w:r>
    </w:p>
    <w:p>
      <w:pPr>
        <w:pStyle w:val="BodyText"/>
        <w:jc w:val="center"/>
      </w:pPr>
      <w:r>
        <w:rPr>
          <w:b/>
          <w:bCs/>
        </w:rPr>
        <w:t xml:space="preserve">QUYẾT ĐỊNH</w:t>
      </w:r>
    </w:p>
    <w:p>
      <w:pPr>
        <w:pStyle w:val="BodyText"/>
        <w:jc w:val="center"/>
      </w:pPr>
      <w:r>
        <w:rPr>
          <w:b/>
          <w:bCs/>
        </w:rPr>
        <w:t xml:space="preserve">Về việc ban hành định mức hao hụt thóc bảo quản dự trữ quốc gia</w:t>
      </w:r>
    </w:p>
    <w:p>
      <w:pPr>
        <w:pStyle w:val="BodyText"/>
        <w:jc w:val="center"/>
      </w:pPr>
      <w:r>
        <w:rPr>
          <w:b/>
          <w:bCs/>
        </w:rPr>
        <w:t xml:space="preserve"> do Cục Dự trữ quốc gia trực tiếp quản lý</w:t>
      </w:r>
    </w:p>
    <w:p>
      <w:pPr>
        <w:pStyle w:val="BodyText"/>
        <w:jc w:val="center"/>
      </w:pPr>
      <w:r>
        <w:rPr>
          <w:b/>
          <w:bCs/>
        </w:rPr>
        <w:t xml:space="preserve">______________________</w:t>
      </w:r>
    </w:p>
    <w:p>
      <w:pPr>
        <w:pStyle w:val="BodyText"/>
      </w:pPr>
      <w:r>
        <w:t xml:space="preserve"> </w:t>
      </w:r>
    </w:p>
    <w:p>
      <w:pPr>
        <w:pStyle w:val="BodyText"/>
        <w:jc w:val="center"/>
      </w:pPr>
      <w:r>
        <w:rPr>
          <w:b/>
          <w:bCs/>
        </w:rPr>
        <w:t xml:space="preserve">BỘ TRƯỞNG BỘ TÀI CHÍNH</w:t>
      </w:r>
    </w:p>
    <w:p>
      <w:pPr>
        <w:pStyle w:val="BodyText"/>
      </w:pPr>
      <w:r>
        <w:t xml:space="preserve"> </w:t>
      </w:r>
    </w:p>
    <w:p>
      <w:pPr>
        <w:pStyle w:val="BodyText"/>
      </w:pPr>
      <w:r>
        <w:rPr>
          <w:i/>
          <w:iCs/>
        </w:rPr>
        <w:t xml:space="preserve">Căn cứ Pháp lệnh Dự trữ quốc gia số</w:t>
      </w:r>
      <w:r>
        <w:rPr>
          <w:i/>
          <w:iCs/>
        </w:rPr>
        <w:t xml:space="preserve"> </w:t>
      </w:r>
      <w:r>
        <w:rPr>
          <w:i/>
          <w:iCs/>
        </w:rPr>
        <w:t xml:space="preserve">17/2004/PL-UBTVQH11</w:t>
      </w:r>
      <w:r>
        <w:rPr>
          <w:i/>
          <w:iCs/>
        </w:rPr>
        <w:t xml:space="preserve"> </w:t>
      </w:r>
      <w:r>
        <w:rPr>
          <w:i/>
          <w:iCs/>
        </w:rPr>
        <w:t xml:space="preserve">ngày 29/4/2004 của Ủy ban Thường vụ Quốc hội;</w:t>
      </w:r>
    </w:p>
    <w:p>
      <w:pPr>
        <w:pStyle w:val="BodyText"/>
      </w:pPr>
      <w:r>
        <w:rPr>
          <w:i/>
          <w:iCs/>
        </w:rPr>
        <w:t xml:space="preserve">Căn cứ Nghị định số</w:t>
      </w:r>
      <w:r>
        <w:rPr>
          <w:i/>
          <w:iCs/>
        </w:rPr>
        <w:t xml:space="preserve"> </w:t>
      </w:r>
      <w:r>
        <w:rPr>
          <w:i/>
          <w:iCs/>
        </w:rPr>
        <w:t xml:space="preserve">196/2004/NĐ-CP</w:t>
      </w:r>
      <w:r>
        <w:rPr>
          <w:i/>
          <w:iCs/>
        </w:rPr>
        <w:t xml:space="preserve"> </w:t>
      </w:r>
      <w:r>
        <w:rPr>
          <w:i/>
          <w:iCs/>
        </w:rPr>
        <w:t xml:space="preserve">ngày 02/12/2004 của Chính phủ qui định chi tiết thi hành Pháp lệnh Dự trữ quốc gia;</w:t>
      </w:r>
    </w:p>
    <w:p>
      <w:pPr>
        <w:pStyle w:val="BodyText"/>
      </w:pPr>
      <w:r>
        <w:rPr>
          <w:i/>
          <w:iCs/>
        </w:rPr>
        <w:t xml:space="preserve">Căn cứ Nghị định số</w:t>
      </w:r>
      <w:r>
        <w:rPr>
          <w:i/>
          <w:iCs/>
        </w:rPr>
        <w:t xml:space="preserve"> </w:t>
      </w:r>
      <w:r>
        <w:rPr>
          <w:i/>
          <w:iCs/>
        </w:rPr>
        <w:t xml:space="preserve">77/2003/NĐ-CP</w:t>
      </w:r>
      <w:r>
        <w:rPr>
          <w:i/>
          <w:iCs/>
        </w:rPr>
        <w:t xml:space="preserve"> </w:t>
      </w:r>
      <w:r>
        <w:rPr>
          <w:i/>
          <w:iCs/>
        </w:rPr>
        <w:t xml:space="preserve">ngày 01/7/2003 của Chính phủ về việc qui định chức năng, nhiệm vụ, quyền hạn và cơ cấu tổ chức của Bộ Tài chính.</w:t>
      </w:r>
    </w:p>
    <w:p>
      <w:pPr>
        <w:pStyle w:val="BodyText"/>
      </w:pPr>
      <w:r>
        <w:rPr>
          <w:i/>
          <w:iCs/>
        </w:rPr>
        <w:t xml:space="preserve">Theo đề nghị của Chủ tịch Hội đồng định mức bảo quản hàng dự trữ quốc gia Bộ Tài chính, Cục trưởng Cục Dự trữ quốc gia;</w:t>
      </w:r>
    </w:p>
    <w:p>
      <w:pPr>
        <w:pStyle w:val="BodyText"/>
        <w:jc w:val="center"/>
      </w:pPr>
      <w:r>
        <w:rPr>
          <w:b/>
          <w:bCs/>
        </w:rPr>
        <w:t xml:space="preserve">QUYẾT ĐỊNH</w:t>
      </w:r>
      <w:r>
        <w:t xml:space="preserve"> </w:t>
      </w:r>
    </w:p>
    <w:p>
      <w:pPr>
        <w:pStyle w:val="BodyText"/>
      </w:pPr>
      <w:r>
        <w:rPr>
          <w:b/>
          <w:bCs/>
        </w:rPr>
        <w:t xml:space="preserve">Điều 1.</w:t>
      </w:r>
      <w:r>
        <w:t xml:space="preserve"> </w:t>
      </w:r>
      <w:r>
        <w:t xml:space="preserve">Ban hành kèm theo Quyết định này định mức hao hụt thóc bảo quản dự trữ quốc gia do Cục Dự trữ quốc gia trực tiếp quản lý (có phụ lục kèm theo).</w:t>
      </w:r>
    </w:p>
    <w:p>
      <w:pPr>
        <w:pStyle w:val="BodyText"/>
      </w:pPr>
      <w:r>
        <w:t xml:space="preserve">Các định mức trên căn cứ theo tiêu chuẩn chất lượng thóc nhập kho dự trữ quốc gia tại tiêu chuẩn ngành TCN 04-2004: Thóc dự trữ quốc gia - Yêu cầu kỹ thuật ban hành theo Quyết định số</w:t>
      </w:r>
      <w:r>
        <w:t xml:space="preserve"> </w:t>
      </w:r>
      <w:r>
        <w:t xml:space="preserve">35/2004/QĐ-BTC</w:t>
      </w:r>
      <w:r>
        <w:t xml:space="preserve"> </w:t>
      </w:r>
      <w:r>
        <w:t xml:space="preserve">ngày 14/4/2004 và quy phạm bảo quản thóc ban hành tại Quyết định số</w:t>
      </w:r>
      <w:r>
        <w:t xml:space="preserve"> </w:t>
      </w:r>
      <w:r>
        <w:t xml:space="preserve">34/2004/QĐ-BTC</w:t>
      </w:r>
      <w:r>
        <w:t xml:space="preserve"> </w:t>
      </w:r>
      <w:r>
        <w:t xml:space="preserve">ngày 14/4/2004 của Bộ trưởng Bộ Tài chính.</w:t>
      </w:r>
    </w:p>
    <w:p>
      <w:pPr>
        <w:pStyle w:val="BodyText"/>
      </w:pPr>
      <w:r>
        <w:rPr>
          <w:b/>
          <w:bCs/>
        </w:rPr>
        <w:t xml:space="preserve">Điều 2.</w:t>
      </w:r>
      <w:r>
        <w:t xml:space="preserve"> </w:t>
      </w:r>
      <w:r>
        <w:t xml:space="preserve">Quyết định này có hiệu lực thi hành sau 15 ngày kể từ ngày đăng công báo và thay thế phần nội dung quy định về định mức hao hụt thóc tại Điều 1 Quyết định số</w:t>
      </w:r>
      <w:r>
        <w:t xml:space="preserve"> </w:t>
      </w:r>
      <w:r>
        <w:t xml:space="preserve">91/2004/QĐ-BTC</w:t>
      </w:r>
      <w:r>
        <w:t xml:space="preserve"> </w:t>
      </w:r>
      <w:r>
        <w:t xml:space="preserve">ngày 29/11/2004 của Bộ trưởng Bộ Tài chính về việc ban hành định mức bảo quản hàng hóa dự trữ quốc gia.</w:t>
      </w:r>
    </w:p>
    <w:p>
      <w:pPr>
        <w:pStyle w:val="BodyText"/>
      </w:pPr>
      <w:r>
        <w:rPr>
          <w:b/>
          <w:bCs/>
        </w:rPr>
        <w:t xml:space="preserve">Điều 3.</w:t>
      </w:r>
      <w:r>
        <w:t xml:space="preserve"> </w:t>
      </w:r>
      <w:r>
        <w:t xml:space="preserve">Cục trưởng Cục Dự trữ quốc gia, Chánh Văn phòng Bộ và Thủ trưởng các đơn vị thuộc Bộ Tài chính trong phạm vi chức năng, quyền hạn của mình có trách nhiệm tổ chức thực hiện và kiểm tra thi hành quyết định này ./.</w:t>
      </w:r>
    </w:p>
    <w:p>
      <w:pPr>
        <w:pStyle w:val="BodyText"/>
      </w:pPr>
      <w:r>
        <w:t xml:space="preserve"> </w:t>
      </w:r>
    </w:p>
    <w:p>
      <w:pPr>
        <w:pStyle w:val="BodyText"/>
      </w:pPr>
      <w:r>
        <w:t xml:space="preserve">KT. BỘ TRƯỞNG</w:t>
      </w:r>
      <w:r>
        <w:t xml:space="preserve"> </w:t>
      </w:r>
      <w:r>
        <w:br/>
      </w:r>
      <w:r>
        <w:t xml:space="preserve">THỨ TRƯỞNG</w:t>
      </w:r>
    </w:p>
    <w:p>
      <w:pPr>
        <w:pStyle w:val="BodyText"/>
        <w:jc w:val="center"/>
      </w:pPr>
      <w:r>
        <w:t xml:space="preserve">(Đã ký)</w:t>
      </w:r>
    </w:p>
    <w:p>
      <w:pPr>
        <w:pStyle w:val="BodyText"/>
        <w:jc w:val="center"/>
      </w:pPr>
      <w:r>
        <w:t xml:space="preserve">Đỗ Hoàng Anh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2026-09-23T04:34:24Z</dcterms:created>
  <dcterms:modified xsi:type="dcterms:W3CDTF">2026-09-23T04:34:24Z</dcterms:modified>
</cp:coreProperties>
</file>

<file path=docProps/custom.xml><?xml version="1.0" encoding="utf-8"?>
<Properties xmlns="http://schemas.openxmlformats.org/officeDocument/2006/custom-properties" xmlns:vt="http://schemas.openxmlformats.org/officeDocument/2006/docPropsVTypes"/>
</file>