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7bd96e5cbcf915d7792271c3787200a76bbb0b"/>
    <w:p>
      <w:pPr>
        <w:pStyle w:val="Heading1"/>
      </w:pPr>
      <w:r>
        <w:t xml:space="preserve">Quyết định số 03/2010/QĐ-KTNN Ban hành Quy trình kiểm toán Các tổ chức tài chính - ngân hàng</w:t>
      </w:r>
    </w:p>
    <w:p>
      <w:pPr>
        <w:pStyle w:val="FirstParagraph"/>
        <w:jc w:val="center"/>
      </w:pPr>
      <w:r>
        <w:t xml:space="preserve">TỔNG KIỂM TOÁN NHÀ NƯỚC</w:t>
      </w: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t xml:space="preserve">CỘNG HÒA XÃ HỘI CHỦ NGHĨA VIỆT NAM</w:t>
      </w:r>
    </w:p>
    <w:p>
      <w:pPr>
        <w:pStyle w:val="BodyText"/>
        <w:jc w:val="center"/>
      </w:pPr>
      <w:r>
        <w:t xml:space="preserve">Độc lập – Tự do – Hạnh phúc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t xml:space="preserve">Số: 03/2010/QĐ-KTNN</w:t>
      </w:r>
    </w:p>
    <w:p>
      <w:pPr>
        <w:pStyle w:val="BodyText"/>
      </w:pPr>
    </w:p>
    <w:p>
      <w:pPr>
        <w:pStyle w:val="BodyText"/>
        <w:jc w:val="center"/>
      </w:pPr>
      <w:r>
        <w:t xml:space="preserve">Hà Nội, ngày 10 tháng 02 năm 2010</w:t>
      </w:r>
    </w:p>
    <w:p>
      <w:pPr>
        <w:pStyle w:val="BodyText"/>
        <w:jc w:val="center"/>
      </w:pPr>
      <w:r>
        <w:rPr>
          <w:b/>
          <w:bCs/>
        </w:rPr>
        <w:t xml:space="preserve">QUYẾT ĐỊNH</w:t>
      </w:r>
    </w:p>
    <w:p>
      <w:pPr>
        <w:pStyle w:val="BodyText"/>
        <w:jc w:val="center"/>
      </w:pPr>
      <w:r>
        <w:rPr>
          <w:b/>
          <w:bCs/>
        </w:rPr>
        <w:t xml:space="preserve">Ban hành Quy trình kiểm toán Các tổ chức tài chính - ngân hàng</w:t>
      </w:r>
    </w:p>
    <w:p>
      <w:pPr>
        <w:pStyle w:val="BodyText"/>
        <w:jc w:val="center"/>
      </w:pPr>
      <w:r>
        <w:rPr>
          <w:b/>
          <w:bCs/>
        </w:rPr>
        <w:t xml:space="preserve">______________________________</w:t>
      </w:r>
    </w:p>
    <w:p>
      <w:pPr>
        <w:pStyle w:val="BodyText"/>
        <w:jc w:val="center"/>
      </w:pPr>
      <w:r>
        <w:rPr>
          <w:b/>
          <w:bCs/>
        </w:rPr>
        <w:t xml:space="preserve">TỔNG KIỂM TOÁN NHÀ NƯỚC</w:t>
      </w:r>
    </w:p>
    <w:p>
      <w:pPr>
        <w:pStyle w:val="BodyText"/>
      </w:pPr>
      <w:r>
        <w:t xml:space="preserve">Căn cứ Luật Kiểm toán nhà nước;</w:t>
      </w:r>
    </w:p>
    <w:p>
      <w:pPr>
        <w:pStyle w:val="BodyText"/>
      </w:pPr>
      <w:r>
        <w:t xml:space="preserve">Căn cứ Nghị quyết số</w:t>
      </w:r>
      <w:r>
        <w:t xml:space="preserve"> </w:t>
      </w:r>
      <w:r>
        <w:t xml:space="preserve">916/2005/NQ-UBTVQH11</w:t>
      </w:r>
      <w:r>
        <w:t xml:space="preserve"> </w:t>
      </w:r>
      <w:r>
        <w:t xml:space="preserve">ngày 15/9/2005 của Ủy ban Thường vụ Quốc hội về cơ cấu tổ chức của Kiểm toán Nhà nước;</w:t>
      </w:r>
    </w:p>
    <w:p>
      <w:pPr>
        <w:pStyle w:val="BodyText"/>
      </w:pPr>
      <w:r>
        <w:t xml:space="preserve">Căn cứ Quyết định số</w:t>
      </w:r>
      <w:r>
        <w:t xml:space="preserve"> </w:t>
      </w:r>
      <w:r>
        <w:t xml:space="preserve">02/2008/QĐ-KTNN</w:t>
      </w:r>
      <w:r>
        <w:t xml:space="preserve"> </w:t>
      </w:r>
      <w:r>
        <w:t xml:space="preserve">ngày 15/02/2008 của Tổng Kiểm toán Nhà nước ban hành Quy chế soạn thảo, thẩm định và ban hành văn bản quy phạm pháp luật của Kiểm toán Nhà nước;</w:t>
      </w:r>
    </w:p>
    <w:p>
      <w:pPr>
        <w:pStyle w:val="BodyText"/>
      </w:pPr>
      <w:r>
        <w:t xml:space="preserve">Căn cứ Quyết định số</w:t>
      </w:r>
      <w:r>
        <w:t xml:space="preserve"> </w:t>
      </w:r>
      <w:r>
        <w:t xml:space="preserve">04/2007/QĐ-KTNN</w:t>
      </w:r>
      <w:r>
        <w:t xml:space="preserve"> </w:t>
      </w:r>
      <w:r>
        <w:t xml:space="preserve">ngày 02/8/2007 của Tổng Kiểm toán Nhà nước ban hành Quy trình kiểm toán của Kiểm toán Nhà nước;</w:t>
      </w:r>
    </w:p>
    <w:p>
      <w:pPr>
        <w:pStyle w:val="BodyText"/>
      </w:pPr>
      <w:r>
        <w:t xml:space="preserve">Theo đề nghị của Vụ trưởng Vụ Chế độ và Kiểm soát chất lượng kiểm toán và Vụ trưởng Vụ Pháp chế,</w:t>
      </w:r>
    </w:p>
    <w:p>
      <w:pPr>
        <w:pStyle w:val="BodyText"/>
        <w:jc w:val="center"/>
      </w:pPr>
      <w:r>
        <w:rPr>
          <w:b/>
          <w:bCs/>
        </w:rPr>
        <w:t xml:space="preserve"> QUYẾT ĐỊNH:</w:t>
      </w:r>
    </w:p>
    <w:p>
      <w:pPr>
        <w:pStyle w:val="BodyText"/>
      </w:pPr>
      <w:r>
        <w:rPr>
          <w:b/>
          <w:bCs/>
        </w:rPr>
        <w:t xml:space="preserve">Điều 1.</w:t>
      </w:r>
      <w:r>
        <w:t xml:space="preserve"> </w:t>
      </w:r>
      <w:r>
        <w:t xml:space="preserve">Ban hành kèm theo Quyết định này Quy trình kiểm toán Các tổ chức tài chính - ngân hàng.</w:t>
      </w:r>
    </w:p>
    <w:p>
      <w:pPr>
        <w:pStyle w:val="BodyText"/>
      </w:pPr>
      <w:r>
        <w:rPr>
          <w:b/>
          <w:bCs/>
        </w:rPr>
        <w:t xml:space="preserve">Điều 2.</w:t>
      </w:r>
      <w:r>
        <w:t xml:space="preserve"> </w:t>
      </w:r>
      <w:r>
        <w:t xml:space="preserve">Quyết định này có hiệu lực thi hành sau 45 ngày, kể từ ngày ký.</w:t>
      </w:r>
    </w:p>
    <w:p>
      <w:pPr>
        <w:pStyle w:val="BodyText"/>
      </w:pPr>
      <w:r>
        <w:rPr>
          <w:b/>
          <w:bCs/>
        </w:rPr>
        <w:t xml:space="preserve">Điều 3.</w:t>
      </w:r>
      <w:r>
        <w:t xml:space="preserve"> </w:t>
      </w:r>
      <w:r>
        <w:t xml:space="preserve">Thủ trưởng các đơn vị trực thuộc Kiểm toán Nhà nước, các tổ chức và cá nhân có liên quan chịu trách nhiệm thi hành Quyết định này./.</w:t>
      </w: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t xml:space="preserve">TỔNG KIỂM TOÁN NHÀ NƯỚC</w:t>
      </w:r>
    </w:p>
    <w:p>
      <w:pPr>
        <w:pStyle w:val="BodyText"/>
        <w:jc w:val="center"/>
      </w:pPr>
      <w:r>
        <w:t xml:space="preserve">(Đã ký)</w:t>
      </w:r>
    </w:p>
    <w:p>
      <w:pPr>
        <w:pStyle w:val="BodyText"/>
        <w:jc w:val="center"/>
      </w:pPr>
      <w:r>
        <w:t xml:space="preserve">Vương Đình Huệ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2026-09-23T03:53:42Z</dcterms:created>
  <dcterms:modified xsi:type="dcterms:W3CDTF">2026-09-23T03:53:42Z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