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11/2021/QĐ-TTg Về việc kéo dài thời gian thực hiện cơ chế tài chính đặc thù của một số cơ quan, đơn vị hành chính nhà nước</w:t>
      </w:r>
    </w:p>
    <w:p>
      <w:r/>
    </w:p>
    <w:p>
      <w:r/>
      <w:r/>
    </w:p>
    <w:p>
      <w:pPr>
        <w:jc w:val="center"/>
      </w:pPr>
      <w:r/>
      <w:r/>
      <w:r/>
      <w:r/>
    </w:p>
    <w:p>
      <w:pPr>
        <w:jc w:val="center"/>
      </w:pPr>
      <w:r/>
      <w:r>
        <w:rPr>
          <w:b/>
        </w:rPr>
        <w:t>THỦ TƯỚNG CHÍNH PHỦ</w:t>
      </w:r>
      <w:r/>
      <w:r/>
      <w:r/>
    </w:p>
    <w:p>
      <w:pPr>
        <w:jc w:val="center"/>
      </w:pPr>
      <w:r/>
      <w:r>
        <w:t>CỘNG HÒA XÃ HỘI CHỦ NGHĨA VIỆT NAM</w:t>
      </w:r>
      <w:r/>
    </w:p>
    <w:p>
      <w:pPr>
        <w:jc w:val="center"/>
      </w:pPr>
      <w:r/>
      <w:r>
        <w:t>Độc lập - Tự do - Hạnh phúc</w:t>
      </w:r>
      <w:r/>
      <w:r/>
      <w:r/>
      <w:r/>
      <w:r/>
    </w:p>
    <w:p>
      <w:pPr>
        <w:jc w:val="center"/>
      </w:pPr>
      <w:r/>
      <w:r>
        <w:t>Số: 11/2021/QĐ-TTg</w:t>
      </w:r>
      <w:r/>
      <w:r/>
      <w:r/>
    </w:p>
    <w:p>
      <w:pPr>
        <w:jc w:val="center"/>
      </w:pPr>
      <w:r/>
      <w:r>
        <w:rPr>
          <w:i/>
        </w:rPr>
        <w:t>Hà Nội, ngày 17 tháng 3 năm 2021</w:t>
      </w:r>
      <w:r/>
      <w:r/>
      <w:r/>
    </w:p>
    <w:p>
      <w:pPr>
        <w:jc w:val="center"/>
      </w:pPr>
      <w:r/>
      <w:r>
        <w:rPr>
          <w:b/>
        </w:rPr>
        <w:t>QUYẾT ĐỊNH</w:t>
        <w:br/>
      </w:r>
      <w:r>
        <w:rPr>
          <w:b/>
        </w:rPr>
        <w:t xml:space="preserve">Về việc kéo dài thời gian thực hiện cơ chế tài chính đặc thù </w:t>
      </w:r>
      <w:r/>
    </w:p>
    <w:p>
      <w:pPr>
        <w:jc w:val="center"/>
      </w:pPr>
      <w:r/>
      <w:r>
        <w:rPr>
          <w:b/>
        </w:rPr>
        <w:t>của một số cơ quan, đơn vị hành chính nhà nước</w:t>
      </w:r>
      <w:r/>
    </w:p>
    <w:p>
      <w:r/>
      <w:r>
        <w:rPr>
          <w:i/>
        </w:rPr>
        <w:t>Căn cứ Luật Tổ chức Chính phủ ngày 19 tháng 6 năm 2015; Luật sửa đổi, bổ sung một số điều của Luật Tổ chức Chính phủ và Luật Tổ chức chính quyền địa phương ngày 22 tháng 11 năm 2019;</w:t>
      </w:r>
      <w:r/>
    </w:p>
    <w:p>
      <w:r/>
      <w:r>
        <w:rPr>
          <w:i/>
        </w:rPr>
        <w:t>Căn cứ Luật Ngân sách nhà nước ngày 25 tháng 6 năm 2015;</w:t>
      </w:r>
      <w:r/>
    </w:p>
    <w:p>
      <w:r/>
      <w:r>
        <w:rPr>
          <w:i/>
        </w:rPr>
        <w:t>Căn cứ Nghị quyết số 129/2020/QH14 ngày 13 tháng 11 năm 2020 của Quốc hội về phân bổ ngân sách trung ương năm 2021;</w:t>
      </w:r>
      <w:r/>
    </w:p>
    <w:p>
      <w:r/>
      <w:r>
        <w:rPr>
          <w:i/>
        </w:rPr>
        <w:t>Theo đề nghị của Bộ trưởng Bộ Tài chính.</w:t>
      </w:r>
      <w:r/>
    </w:p>
    <w:p>
      <w:r/>
      <w:r>
        <w:rPr>
          <w:b/>
        </w:rPr>
        <w:t xml:space="preserve">Điều 1. </w:t>
      </w:r>
      <w:r>
        <w:t>Kéo dài thời hạn áp dụng của 08 Quyết định và 01 văn bản của Thủ tướng Chính phủ cho đến khi thực hiện cải cách tiền lương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gồm:</w:t>
      </w:r>
      <w:r/>
    </w:p>
    <w:p>
      <w:r/>
      <w:r>
        <w:t>1. Quyết định số 03/2015/QĐ-TTg ngày 15 tháng 01 năm 2015 của Thủ tướng Chính phủ thí điểm một số cơ chế tài chính đặc thù của Cục Bưu điện Trung ương.</w:t>
      </w:r>
      <w:r/>
    </w:p>
    <w:p>
      <w:r/>
      <w:r>
        <w:t>2. Quyết định số 04/2016/QĐ-TTg ngày 04 tháng 02 năm 2016 của Thủ tướng Chính phủ về áp dụng hệ số điều chỉnh mức lương cơ sở tăng thêm đối với công chức, viên chức và người lao động làm việc tại Ban quản lý Khu công nghệ cao Hòa Lạc.</w:t>
      </w:r>
      <w:r/>
    </w:p>
    <w:p>
      <w:r/>
      <w:r>
        <w:t>3. Quyết định số 05/2016/QĐ-TTg ngày 05 tháng 02 năm 2016 của Thủ tướng Chính phủ về việc quản lý sử dụng phí cho vay lại và phần trích phí bảo lãnh tại Bộ Tài chính giai đoạn 2016 - 2020.</w:t>
      </w:r>
      <w:r/>
    </w:p>
    <w:p>
      <w:r/>
      <w:r>
        <w:t>4. Quyết định số 13/2016/QĐ-TTg ngày 15 tháng 3 năm 2016 của Thủ tướng Chính phủ về việc thực hiện cơ chế quản lý tài chính và biên chế đối với Tổng cục Thuế, Tổng cục Hải quan giai đoạn 2016 - 2020.</w:t>
      </w:r>
      <w:r/>
    </w:p>
    <w:p>
      <w:r/>
      <w:r>
        <w:t>5. Quyết định số 32/2019/QĐ-TTg ngày 29 tháng 10 năm 2019 của Thủ tướng Chính phủ về một số chế độ chi đặc thù của Cục Hàng hải Việt Nam.</w:t>
      </w:r>
      <w:r/>
    </w:p>
    <w:p>
      <w:r/>
      <w:r>
        <w:t>6. Quyết định số 02/2020/QĐ-TTg ngày 15 tháng 5 năm 2020 của Thủ tướng Chính phủ về việc kéo dài thời hạn thí điểm một số chế độ ưu đãi và cơ chế tài chính đặc thù cho cán bộ kỹ thuật và lực lượng ứng cứu sự cố an toàn thông tin mạng của Bộ Thông tin và Truyền thông.</w:t>
      </w:r>
      <w:r/>
    </w:p>
    <w:p>
      <w:r/>
      <w:r>
        <w:t>7. Quyết định số 11/2020/QĐ-TTg ngày 30 tháng 3 năm 2020 của Thủ tướng Chính phủ về chế độ quản lý tài chính đối với cơ quan Cục Quản lý, giám sát bảo hiểm - Bộ Tài chính.</w:t>
      </w:r>
      <w:r/>
    </w:p>
    <w:p>
      <w:r/>
      <w:r>
        <w:t>8. Quyết định số 17/2020/QĐ-TTg ngày 29 tháng 5 năm 2020 của Thủ tướng Chính phủ về việc áp dụng cơ chế quản lý tài chính, thu nhập đặc thù đối với Cục Bảo vệ thực vật, Cục Thú y và Cục Quản lý chất lượng nông lâm sản và thủy sản thuộc Bộ Nông nghiệp và Phát triển nông thôn.</w:t>
      </w:r>
      <w:r/>
    </w:p>
    <w:p>
      <w:r/>
      <w:r>
        <w:t>9. Công văn số 128/TTg-KTTH ngày 31 tháng 01 năm 2019 của Thủ tướng Chính phủ về thu nhập tăng thêm đối với Cục Viễn thông, Cục Tần số vô tuyến điện, Cục Phát thanh, truyền hình và thông tin điện tử thuộc Bộ Thông tin và Truyền thông.</w:t>
      </w:r>
      <w:r/>
    </w:p>
    <w:p>
      <w:r/>
      <w:r>
        <w:rPr>
          <w:b/>
        </w:rPr>
        <w:t xml:space="preserve">Điều 2. </w:t>
      </w:r>
      <w:r>
        <w:t>Quyết định này có hiệu lực từ ngày ký và áp dụng từ năm ngân sách 2021.</w:t>
      </w:r>
      <w:r/>
    </w:p>
    <w:p>
      <w:r/>
      <w:r>
        <w:rPr>
          <w:b/>
        </w:rPr>
        <w:t xml:space="preserve">Điều 3. </w:t>
      </w:r>
      <w:r>
        <w:t>Các Bộ trưởng: Tài chính, Nội vụ, Giao thông vận tải, Thông tin và Truyền thông, Nông nghiệp và Phát triển nông thôn, Khoa học và Công nghệ và Thủ trưởng các đơn vị có liên quan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r/>
          </w:p>
          <w:p>
            <w:r/>
            <w:r>
              <w:rPr>
                <w:b/>
                <w:i/>
              </w:rPr>
              <w:t>Nơi nhận:</w:t>
            </w:r>
            <w:r/>
          </w:p>
          <w:p>
            <w:r/>
            <w:r>
              <w:t>- Ban Bí thư Trung ương Đảng;</w:t>
            </w:r>
            <w:r/>
          </w:p>
          <w:p>
            <w:r/>
            <w:r>
              <w:t>- Thủ tướng, các Phó Thủ tướng Chính phủ;</w:t>
            </w:r>
            <w:r/>
          </w:p>
          <w:p>
            <w:r/>
            <w:r>
              <w:t>- Các bộ, cơ quan ngang bộ, cơ quan thuộc Chính phủ;</w:t>
            </w:r>
            <w:r/>
          </w:p>
          <w:p>
            <w:r/>
            <w:r>
              <w:t>- HĐND, UBND các tỉnh, thành phố trực thuộc trung ương;</w:t>
            </w:r>
            <w:r/>
          </w:p>
          <w:p>
            <w:r/>
            <w:r>
              <w:t>- Văn phòng Trung ương và các Ban của Đảng;</w:t>
            </w:r>
            <w:r/>
          </w:p>
          <w:p>
            <w:r/>
            <w:r>
              <w:t>- Văn phòng Tổng Bí thư;</w:t>
            </w:r>
            <w:r/>
          </w:p>
          <w:p>
            <w:r/>
            <w:r>
              <w:t>- Văn phòng Chủ tịch nước;</w:t>
            </w:r>
            <w:r/>
          </w:p>
          <w:p>
            <w:r/>
            <w:r>
              <w:t>- Hội đồng Dân tộc và các Ủy ban của Quốc hội;</w:t>
            </w:r>
            <w:r/>
          </w:p>
          <w:p>
            <w:r/>
            <w:r>
              <w:t>- Văn phòng Quốc hội;</w:t>
            </w:r>
            <w:r/>
          </w:p>
          <w:p>
            <w:r/>
            <w:r>
              <w:t>- Tòa án nhân dân tối cao:</w:t>
            </w:r>
            <w:r/>
          </w:p>
          <w:p>
            <w:r/>
            <w:r>
              <w:t>- Viện kiểm sát nhân dân tối cao;</w:t>
            </w:r>
            <w:r/>
          </w:p>
          <w:p>
            <w:r/>
            <w:r>
              <w:t>- Kiểm toán nhà nước;</w:t>
            </w:r>
            <w:r/>
          </w:p>
          <w:p>
            <w:r/>
            <w:r>
              <w:t>- Ủy ban Giám sát tài chính Quốc gia;</w:t>
            </w:r>
            <w:r/>
          </w:p>
          <w:p>
            <w:r/>
            <w:r>
              <w:t>- Ngân hàng Chính sách xã hội;</w:t>
            </w:r>
            <w:r/>
          </w:p>
          <w:p>
            <w:r/>
            <w:r>
              <w:t>- Ngân hàng Phát triển Việt Nam;</w:t>
            </w:r>
            <w:r/>
          </w:p>
          <w:p>
            <w:r/>
            <w:r>
              <w:t>- Ủy ban trung ương Mặt trận Tổ quốc Việt Nam;</w:t>
            </w:r>
            <w:r/>
          </w:p>
          <w:p>
            <w:r/>
            <w:r>
              <w:t>- Cơ quan trung ương của các đoàn thể;</w:t>
            </w:r>
            <w:r/>
          </w:p>
          <w:p>
            <w:r/>
            <w:r>
              <w:t>- VPCP: BTCN, các PCN, Trợ lý TTg, TGĐ Cổng TTĐT, các Vụ, Cục, đơn vị trực thuộc, Công báo;</w:t>
            </w:r>
            <w:r/>
          </w:p>
          <w:p>
            <w:r/>
            <w:r>
              <w:t xml:space="preserve">- Lưu: VT, KTTH (2). </w:t>
            </w:r>
          </w:p>
        </w:tc>
        <w:tc>
          <w:tcPr>
            <w:tcW w:type="dxa" w:w="4320"/>
          </w:tcPr>
          <w:p>
            <w:r/>
          </w:p>
          <w:p>
            <w:pPr>
              <w:jc w:val="center"/>
            </w:pPr>
            <w:r/>
            <w:r>
              <w:rPr>
                <w:b/>
              </w:rPr>
              <w:t>THỦ TƯỚNG</w:t>
            </w:r>
            <w:r/>
          </w:p>
          <w:p>
            <w:pPr>
              <w:jc w:val="center"/>
            </w:pPr>
            <w:r/>
            <w:r>
              <w:rPr>
                <w:b/>
              </w:rPr>
              <w:t>(Đã ký)</w:t>
            </w:r>
            <w:r/>
          </w:p>
          <w:p>
            <w:pPr>
              <w:jc w:val="center"/>
            </w:pPr>
            <w:r/>
            <w:r>
              <w:rPr>
                <w:b/>
              </w:rPr>
              <w:t>Nguyễn Xuân Phúc</w:t>
            </w:r>
          </w:p>
        </w:tc>
      </w:tr>
    </w:tbl>
    <w:p>
      <w:r/>
    </w:p>
    <w:p>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