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Quyết định số 1583/2007/QĐ-BKH Ban hành Mẫu hồ sơ mời thầu dịch vụ tư vấn</w:t>
      </w:r>
    </w:p>
    <w:p>
      <w:r/>
      <w:r/>
    </w:p>
    <w:p>
      <w:r/>
      <w:r/>
    </w:p>
    <w:p>
      <w:pPr>
        <w:jc w:val="center"/>
      </w:pPr>
      <w:r/>
      <w:r>
        <w:rPr>
          <w:b/>
        </w:rPr>
        <w:t>QUYẾT ĐỊNH</w:t>
      </w:r>
      <w:r/>
    </w:p>
    <w:p>
      <w:pPr>
        <w:jc w:val="center"/>
      </w:pPr>
      <w:r/>
      <w:r>
        <w:rPr>
          <w:b/>
        </w:rPr>
        <w:t>Ban hành Mẫu hồ sơ mời thầu dịch vụ tư vấn</w:t>
      </w:r>
      <w:r/>
    </w:p>
    <w:p>
      <w:pPr>
        <w:jc w:val="center"/>
      </w:pPr>
      <w:r/>
      <w:r>
        <w:rPr>
          <w:b/>
        </w:rPr>
        <w:t>____________________</w:t>
      </w:r>
      <w:r/>
    </w:p>
    <w:p>
      <w:pPr>
        <w:jc w:val="center"/>
      </w:pPr>
      <w:r/>
      <w:r>
        <w:rPr>
          <w:b/>
        </w:rPr>
        <w:t>BỘ TRƯỞNG BỘ KẾ HOẠCH VÀ ĐẦU TƯ</w:t>
      </w:r>
      <w:r/>
    </w:p>
    <w:p>
      <w:pPr>
        <w:jc w:val="both"/>
      </w:pPr>
      <w:r/>
      <w:r>
        <w:t>C</w:t>
      </w:r>
      <w:r>
        <w:rPr>
          <w:i/>
        </w:rPr>
        <w:t>ăn cứ Luật Đấu thầu số 61/2005/QH11 ngày 29 tháng 11 năm 2005 của Quốc hội;</w:t>
      </w:r>
      <w:r/>
    </w:p>
    <w:p>
      <w:pPr>
        <w:jc w:val="both"/>
      </w:pPr>
      <w:r/>
      <w:r>
        <w:rPr>
          <w:i/>
        </w:rPr>
        <w:t>Căn cứ Điều 54 và khoản 4 Điều 63 của Nghị định số 111/2006/NĐ-CP ngày 29 tháng 09 năm 2006 của Chính phủ về hướng dẫn thi hành Luật Đấu thầu và lựa chọn nhà thầu xây dựng theo Luật Xây dựng;</w:t>
      </w:r>
      <w:r/>
    </w:p>
    <w:p>
      <w:pPr>
        <w:jc w:val="both"/>
      </w:pPr>
      <w:r/>
      <w:r>
        <w:rPr>
          <w:i/>
        </w:rPr>
        <w:t>Căn cứ Nghị định số 61/2003/NĐ-CP ngày 06 tháng 06 năm 2003 của Chính phủ quy định chức năng, nhiệm vụ, quyền hạn của Bộ Kế hoạch và Đầu tư;</w:t>
      </w:r>
      <w:r/>
    </w:p>
    <w:p>
      <w:pPr>
        <w:jc w:val="both"/>
      </w:pPr>
      <w:r/>
      <w:r>
        <w:rPr>
          <w:i/>
        </w:rPr>
        <w:t>Theo đề nghị của Vụ trưởng Vụ Quản lý Đấu thầu.</w:t>
      </w:r>
      <w:r/>
    </w:p>
    <w:p>
      <w:pPr>
        <w:jc w:val="center"/>
      </w:pPr>
      <w:r/>
      <w:r>
        <w:rPr>
          <w:b/>
        </w:rPr>
        <w:t>QUYẾT ĐỊNH:</w:t>
      </w:r>
      <w:r/>
    </w:p>
    <w:p>
      <w:pPr>
        <w:jc w:val="both"/>
      </w:pPr>
      <w:r/>
      <w:r>
        <w:rPr>
          <w:b/>
        </w:rPr>
        <w:t>Điều 1.</w:t>
      </w:r>
      <w:r>
        <w:t xml:space="preserve"> Ban hành kèm theo Quyết định này "Mẫu hồ sơ mời thầu dịch vụ tư vấn".</w:t>
      </w:r>
      <w:r/>
    </w:p>
    <w:p>
      <w:pPr>
        <w:jc w:val="both"/>
      </w:pPr>
      <w:r/>
      <w:r>
        <w:rPr>
          <w:b/>
        </w:rPr>
        <w:t>Điều 2.</w:t>
      </w:r>
      <w:r>
        <w:t xml:space="preserve"> Quyết định này có hiệu lực thi hành </w:t>
      </w:r>
      <w:r>
        <w:t xml:space="preserve">sau 15 ngày kể từ ngày đăng Công </w:t>
      </w:r>
      <w:r>
        <w:t>báo</w:t>
      </w:r>
      <w:r>
        <w:t xml:space="preserve">. </w:t>
      </w:r>
      <w:r/>
    </w:p>
    <w:p>
      <w:pPr>
        <w:jc w:val="both"/>
      </w:pPr>
      <w:r/>
      <w:r>
        <w:rPr>
          <w:b/>
        </w:rPr>
        <w:t>Điều 3.</w:t>
      </w:r>
      <w:r>
        <w:t xml:space="preserve"> Các Bộ, cơ quan ngang Bộ, cơ quan thuộc Chính phủ, cơ quan khác ở Trung ương, Ủy ban nhân dân các cấp và tổ chức, cá nhân có liên quan chịu trách nhiệm thi hành Quyết định này./.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