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16/2006/QĐ-BKHCN Ban hành "Quy định về việc tổ chức thực hiện các nhiệm vụ thuộc Đề án triển khai thực hiện Hiệp định Hàng rào kỹ thuật trong thương mại giai đoạn 2006 - 2010"</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t>BỘ KHOA HỌC VÀ CÔNG NGHỆ</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16/2006/QĐ-BKHCN</w:t>
            </w:r>
          </w:p>
        </w:tc>
        <w:tc>
          <w:tcPr>
            <w:tcW w:type="dxa" w:w="4320"/>
          </w:tcPr>
          <w:p>
            <w:r>
              <w:t>Hà Nội, ngày 23 tháng 8 năm 2006</w:t>
            </w:r>
          </w:p>
        </w:tc>
      </w:tr>
    </w:tbl>
    <w:p>
      <w:r/>
      <w:r/>
      <w:r/>
    </w:p>
    <w:p>
      <w:r/>
      <w:r/>
    </w:p>
    <w:p>
      <w:r/>
      <w:r>
        <w:rPr>
          <w:b/>
        </w:rPr>
        <w:t>QUYẾT ĐỊNH</w:t>
      </w:r>
      <w:r/>
    </w:p>
    <w:p>
      <w:r/>
      <w:r>
        <w:rPr>
          <w:b/>
        </w:rPr>
        <w:t xml:space="preserve">Ban hành "Quy định về việc tổ chức thực hiện các nhiệm vụ thuộc </w:t>
      </w:r>
      <w:r/>
    </w:p>
    <w:p>
      <w:r/>
      <w:r>
        <w:rPr>
          <w:b/>
        </w:rPr>
        <w:t xml:space="preserve">Đề án triển khai </w:t>
      </w:r>
      <w:r>
        <w:rPr>
          <w:b/>
        </w:rPr>
        <w:t xml:space="preserve">thực hiện Hiệp định Hàng rào kỹ thuật trong </w:t>
      </w:r>
      <w:r/>
    </w:p>
    <w:p>
      <w:r/>
      <w:r>
        <w:rPr>
          <w:b/>
        </w:rPr>
        <w:t>thương mại giai đoạn 2006 - 2010"</w:t>
      </w:r>
      <w:r/>
    </w:p>
    <w:p>
      <w:r/>
      <w:r>
        <w:rPr>
          <w:b/>
        </w:rPr>
        <w:t>______________________________________________</w:t>
      </w:r>
      <w:r/>
    </w:p>
    <w:p>
      <w:r/>
      <w:r>
        <w:rPr>
          <w:b/>
        </w:rPr>
        <w:t>BỘ TRƯỞNG BỘ KHOA HỌC VÀ CÔNG NGHỆ</w:t>
      </w:r>
      <w:r/>
    </w:p>
    <w:p>
      <w:r/>
      <w:r>
        <w:t>Căn cứ Nghị định số 54/2003/NĐ-CP ngày 19 tháng 05 năm 2003 của Chính phủ quy định chức năng, nhiệm vụ, quyền hạn và cơ cấu tổ chức của Bộ Khoa học và Công nghệ và Nghị định số 28/2004/NĐ-CP ngày 16 tháng 01 năm 2004 của Chính phủ về việc sửa đổi, bổ sung một số điều của Nghị định 54/2003/NĐ-CP;</w:t>
      </w:r>
      <w:r/>
    </w:p>
    <w:p>
      <w:r/>
      <w:r>
        <w:t>Căn cứ Quyết định số 444/QĐ-TTg ngày 26 tháng 05 năm 2005 của Thủ tướng Chính phủ về việc phê duyệt Đề án triển khai thực hiện Hiệp định hàng rào kỹ thuật trong thương mại;</w:t>
      </w:r>
      <w:r/>
    </w:p>
    <w:p>
      <w:r/>
      <w:r>
        <w:t>Theo đề nghị của Tổng cục trưởng Tổng cục Tiêu chuẩn Đo lường Chất lượng,</w:t>
      </w:r>
      <w:r/>
    </w:p>
    <w:p>
      <w:r/>
      <w:r>
        <w:rPr>
          <w:b/>
        </w:rPr>
        <w:t>QUYẾT ĐỊNH:</w:t>
      </w:r>
      <w:r/>
    </w:p>
    <w:p>
      <w:r/>
      <w:r>
        <w:rPr>
          <w:b/>
        </w:rPr>
        <w:t xml:space="preserve">Điều 1. </w:t>
      </w:r>
      <w:r>
        <w:t>Ban hành kèm theo Quyết định này "Quy định về việc tổ chức thực hiện các nhiệm vụ thuộc Đề án triển khai thực hiện Hiệp định hàng rào kỹ thuật trong thương mại giai đoạn 2006 - 2010".</w:t>
      </w:r>
      <w:r/>
    </w:p>
    <w:p>
      <w:r/>
      <w:r>
        <w:rPr>
          <w:b/>
        </w:rPr>
        <w:t xml:space="preserve">Điều 2. </w:t>
      </w:r>
      <w:r>
        <w:t>Quyết định này có hiệu lực sau 15 ngày, kể từ ngày đăng Công báo.</w:t>
      </w:r>
      <w:r/>
    </w:p>
    <w:p>
      <w:r/>
      <w:r>
        <w:rPr>
          <w:b/>
        </w:rPr>
        <w:t xml:space="preserve">Điều 3. </w:t>
      </w:r>
      <w:r>
        <w:t>Chánh Văn phòng, Vụ trưởng Vụ Kế hoạch - Tài chính, Tổng cục trưởng Tổng cục Tiêu chuẩn Đo lường Chất lượng, Thủ trưởng các đơn vị thuộc Bộ và các cơ quan, tổ chức, cá nhân có liên quan chịu trách nhiệm thi hành Quyết định này.</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KT. BỘ TRƯỞNG</w:t>
              <w:br/>
            </w:r>
            <w:r>
              <w:rPr>
                <w:b/>
              </w:rPr>
              <w:t>THỨ TRƯỞNG</w:t>
              <w:br/>
            </w:r>
            <w:r>
              <w:rPr>
                <w:b/>
                <w:i/>
              </w:rPr>
              <w:t>(Đã ký)</w:t>
            </w:r>
            <w:r>
              <w:t xml:space="preserve"> </w:t>
              <w:br/>
            </w:r>
            <w:r>
              <w:t xml:space="preserve"> </w:t>
              <w:br/>
            </w:r>
            <w:r>
              <w:t xml:space="preserve"> </w:t>
              <w:br/>
            </w:r>
            <w:r>
              <w:t xml:space="preserve"> </w:t>
            </w:r>
            <w:r>
              <w:rPr>
                <w:b/>
              </w:rPr>
              <w:t xml:space="preserve"> Bùi Mạnh Hải</w:t>
            </w:r>
          </w:p>
        </w:tc>
      </w:tr>
    </w:tbl>
    <w:p>
      <w:r/>
    </w:p>
    <w:p>
      <w:pPr>
        <w:ind w:left="7920"/>
      </w:pP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