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6248472fb3a3c586f779b93138103782ebf47b"/>
    <w:p>
      <w:pPr>
        <w:pStyle w:val="Heading1"/>
      </w:pPr>
      <w:r>
        <w:t xml:space="preserve">Thông tư số 121/2009/TT-BTC Về việc điều chỉnh mức thuế suất thuế xuất khẩu đối với mặt hàng quặng Apatit thuộc nhóm 2510 quy định tại Biểu thuế xuất khẩu, Biểu thuế nhập khẩu ưu đãi</w:t>
      </w:r>
    </w:p>
    <w:p>
      <w:pPr>
        <w:pStyle w:val="FirstParagraph"/>
        <w:jc w:val="center"/>
      </w:pPr>
      <w:r>
        <w:t xml:space="preserve">BỘ TÀI CHÍNH</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121/2009/TT-BTC</w:t>
      </w:r>
    </w:p>
    <w:p>
      <w:pPr>
        <w:pStyle w:val="BodyText"/>
        <w:jc w:val="center"/>
      </w:pPr>
      <w:r>
        <w:t xml:space="preserve">Hà Nội, ngày 17 tháng 6 năm 2009</w:t>
      </w:r>
    </w:p>
    <w:p>
      <w:pPr>
        <w:pStyle w:val="BodyText"/>
        <w:jc w:val="center"/>
      </w:pPr>
      <w:r>
        <w:rPr>
          <w:b/>
          <w:bCs/>
        </w:rPr>
        <w:t xml:space="preserve">THÔNG TƯ</w:t>
      </w:r>
    </w:p>
    <w:p>
      <w:pPr>
        <w:pStyle w:val="BodyText"/>
        <w:jc w:val="center"/>
      </w:pPr>
      <w:r>
        <w:rPr>
          <w:b/>
          <w:bCs/>
        </w:rPr>
        <w:t xml:space="preserve">Về việc điều chỉnh mức thuế suất thuế xuất khẩu đối với mặt hàng quặng Apatit thuộc nhóm 2510</w:t>
      </w:r>
    </w:p>
    <w:p>
      <w:pPr>
        <w:pStyle w:val="BodyText"/>
        <w:jc w:val="center"/>
      </w:pPr>
      <w:r>
        <w:rPr>
          <w:b/>
          <w:bCs/>
        </w:rPr>
        <w:t xml:space="preserve"> quy định tại Biểu thuế xuất khẩu, Biểu thuế nhập khẩu ưu đãi</w:t>
      </w:r>
    </w:p>
    <w:p>
      <w:pPr>
        <w:pStyle w:val="BodyText"/>
        <w:jc w:val="center"/>
      </w:pPr>
      <w:r>
        <w:rPr>
          <w:b/>
          <w:bCs/>
        </w:rPr>
        <w:t xml:space="preserve"> ____________________________</w:t>
      </w:r>
    </w:p>
    <w:p>
      <w:pPr>
        <w:pStyle w:val="BodyText"/>
      </w:pPr>
      <w:r>
        <w:t xml:space="preserve">Căn cứ Luật thuế xuất khẩu, thuế nhập khẩu số</w:t>
      </w:r>
      <w:r>
        <w:t xml:space="preserve"> </w:t>
      </w:r>
      <w:r>
        <w:t xml:space="preserve">45/2005/QH11</w:t>
      </w:r>
      <w:r>
        <w:t xml:space="preserve"> </w:t>
      </w:r>
      <w:r>
        <w:t xml:space="preserve">ngày 14 tháng 06 năm 2005;</w:t>
      </w:r>
    </w:p>
    <w:p>
      <w:pPr>
        <w:pStyle w:val="BodyText"/>
      </w:pPr>
      <w:r>
        <w:t xml:space="preserve">Căn cứ Nghị quyết số</w:t>
      </w:r>
      <w:r>
        <w:t xml:space="preserve"> </w:t>
      </w:r>
      <w:r>
        <w:t xml:space="preserve">710/2008/NQ-UBTVQH12</w:t>
      </w:r>
      <w:r>
        <w:t xml:space="preserve"> </w:t>
      </w:r>
      <w:r>
        <w:t xml:space="preserve">ngày 22 tháng 11 năm 2008 của Ủy ban Thường vụ Quốc hội về việc sửa đổi Nghị quyết số</w:t>
      </w:r>
      <w:r>
        <w:t xml:space="preserve"> </w:t>
      </w:r>
      <w:r>
        <w:t xml:space="preserve">295/2007/NQ-UBTVQH12</w:t>
      </w:r>
      <w:r>
        <w:t xml:space="preserve"> </w:t>
      </w:r>
      <w:r>
        <w:t xml:space="preserve">ngày 28/9/2007 của Ủy ban Thường vụ Quốc hội về việc ban hành Biểu thuế xuất khẩu theo danh mục nhóm hàng chịu thuế và khung thuế suất đối với từng nhóm hàng, Biểu thuế nhập khẩu ưu đãi theo danh mục nhóm hàng chịu thuế và khung thuế suất ưu đãi đối với từng nhóm hàng;</w:t>
      </w:r>
    </w:p>
    <w:p>
      <w:pPr>
        <w:pStyle w:val="BodyText"/>
      </w:pPr>
      <w:r>
        <w:t xml:space="preserve">Căn cứ Nghị định số</w:t>
      </w:r>
      <w:r>
        <w:t xml:space="preserve"> </w:t>
      </w:r>
      <w:r>
        <w:t xml:space="preserve">149/2005/NĐ-CP</w:t>
      </w:r>
      <w:r>
        <w:t xml:space="preserve"> </w:t>
      </w:r>
      <w:r>
        <w:t xml:space="preserve">ngày 08 tháng 12 năm 2005 của Chính phủ quy định chi tiết thi hành Luật thuế xuất khẩu, thuế nhập khẩu;</w:t>
      </w:r>
    </w:p>
    <w:p>
      <w:pPr>
        <w:pStyle w:val="BodyText"/>
      </w:pPr>
      <w:r>
        <w:t xml:space="preserve">Căn cứ Nghị định số</w:t>
      </w:r>
      <w:r>
        <w:t xml:space="preserve"> </w:t>
      </w:r>
      <w:r>
        <w:t xml:space="preserve">118/2008/NĐ-CP</w:t>
      </w:r>
      <w:r>
        <w:t xml:space="preserve"> </w:t>
      </w:r>
      <w:r>
        <w:t xml:space="preserve">ngày 27 tháng 11 năm 2008 của Chính phủ quy định chức năng, nhiệm vụ, quyền hạn và cơ cấu tổ chức của Bộ Tài chính;</w:t>
      </w:r>
    </w:p>
    <w:p>
      <w:pPr>
        <w:pStyle w:val="BodyText"/>
      </w:pPr>
      <w:r>
        <w:t xml:space="preserve">Bộ Tài chính hướng dẫn thực hiện mức thuế suất thuế xuất khẩu đối với mặt hàng quặng Apatit thuộc nhóm 25.10 tại Biểu thuế xuất khẩu, Biểu thuế nhập khẩu ưu đãi như sau:</w:t>
      </w:r>
    </w:p>
    <w:p>
      <w:pPr>
        <w:pStyle w:val="BodyText"/>
      </w:pPr>
      <w:r>
        <w:rPr>
          <w:b/>
          <w:bCs/>
        </w:rPr>
        <w:t xml:space="preserve">Điều 1. Thuế suất mặt hàng quặng Apatit</w:t>
      </w:r>
    </w:p>
    <w:p>
      <w:pPr>
        <w:pStyle w:val="BodyText"/>
      </w:pPr>
      <w:r>
        <w:t xml:space="preserve">Điều chỉnh giảm mức thuế suất thuế xuất khẩu của mặt hàng quặng Apatit thuộc nhóm 2510 quy định tại Danh mục sửa đổi Biểu thuế xuất khẩu ban hành kèm theo Quyết định số</w:t>
      </w:r>
      <w:r>
        <w:t xml:space="preserve"> </w:t>
      </w:r>
      <w:r>
        <w:t xml:space="preserve">123/2008/QĐ-BTC</w:t>
      </w:r>
      <w:r>
        <w:t xml:space="preserve"> </w:t>
      </w:r>
      <w:r>
        <w:t xml:space="preserve">ngày 26/12/2008 của Bộ trưởng Bộ Tài chính về việc điều chỉnh mức thuế suất thuế xuất khẩu, mức thuế suất thuế nhập khẩu ưu đãi đối với một số nhóm hàng trong Biểu thuế xuất khẩu, Biểu thuế nhập khẩu ưu đãi từ mức 10% thành mức thuế suất thuế xuất khẩu mới là 7%.</w:t>
      </w:r>
    </w:p>
    <w:p>
      <w:pPr>
        <w:pStyle w:val="BodyText"/>
      </w:pPr>
      <w:r>
        <w:rPr>
          <w:b/>
          <w:bCs/>
        </w:rPr>
        <w:t xml:space="preserve">Điều 2. Hiệu lực thi hành.</w:t>
      </w:r>
    </w:p>
    <w:p>
      <w:pPr>
        <w:pStyle w:val="BodyText"/>
      </w:pPr>
      <w:r>
        <w:t xml:space="preserve">Thông tư này có hiệu lực và áp dụng đối với các Tờ khai hải quan hàng hóa xuất khẩu đăng ký với cơ quan Hải quan sau 45 ngày kể từ ngày ký./.</w:t>
      </w:r>
    </w:p>
    <w:p>
      <w:pPr>
        <w:pStyle w:val="BodyText"/>
      </w:pPr>
      <w:r>
        <w:t xml:space="preserve">KT. BỘ TRƯỞNG</w:t>
      </w:r>
      <w:r>
        <w:t xml:space="preserve"> </w:t>
      </w:r>
      <w:r>
        <w:br/>
      </w:r>
      <w:r>
        <w:t xml:space="preserve">THỨ TRƯỞNG</w:t>
      </w:r>
    </w:p>
    <w:p>
      <w:pPr>
        <w:pStyle w:val="BodyText"/>
        <w:jc w:val="center"/>
      </w:pPr>
      <w:r>
        <w:t xml:space="preserve">(Đã ký)</w:t>
      </w:r>
    </w:p>
    <w:p>
      <w:pPr>
        <w:pStyle w:val="BodyText"/>
        <w:jc w:val="center"/>
      </w:pPr>
      <w:r>
        <w:t xml:space="preserve">Đỗ Hoàng Anh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2026-09-23T14:10:21Z</dcterms:created>
  <dcterms:modified xsi:type="dcterms:W3CDTF">2026-09-23T14:10:21Z</dcterms:modified>
</cp:coreProperties>
</file>

<file path=docProps/custom.xml><?xml version="1.0" encoding="utf-8"?>
<Properties xmlns="http://schemas.openxmlformats.org/officeDocument/2006/custom-properties" xmlns:vt="http://schemas.openxmlformats.org/officeDocument/2006/docPropsVTypes"/>
</file>