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8A21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0.设计网络流量监测功能，并且可以按照协议划分对应的流量，再根据协议划分对应的字段和数据包</w:t>
      </w:r>
    </w:p>
    <w:p w14:paraId="00E583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1.完善主机监测功能，对于进程和文件监测更进一步，文件监测可以监测全局文件的添加变化，着重监测注册表等重要文件变化</w:t>
      </w:r>
    </w:p>
    <w:p w14:paraId="70A07E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2.封装主机监测功能和网络流量监测功能到客户端，并且可以将数据实时反馈给服务端</w:t>
      </w:r>
    </w:p>
    <w:p w14:paraId="03F06E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3.封禁策略 基于签名规则策略（根据一张规则表静态去判断流量是否为恶意攻击流量） 或者 基于行为策略（基于学习算法预测是否为攻击行为流量）</w:t>
      </w:r>
    </w:p>
    <w:p w14:paraId="3477C6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4.页面设计</w:t>
      </w:r>
    </w:p>
    <w:p w14:paraId="04129816">
      <w:r>
        <w:drawing>
          <wp:inline distT="0" distB="0" distL="114300" distR="114300">
            <wp:extent cx="5273675" cy="319976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CF6F">
      <w:r>
        <w:drawing>
          <wp:inline distT="0" distB="0" distL="114300" distR="114300">
            <wp:extent cx="5273040" cy="32385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32F2C">
      <w:r>
        <w:drawing>
          <wp:inline distT="0" distB="0" distL="114300" distR="114300">
            <wp:extent cx="5273040" cy="3329305"/>
            <wp:effectExtent l="0" t="0" r="1016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C3D15"/>
    <w:p w14:paraId="4B135F27">
      <w:r>
        <w:drawing>
          <wp:inline distT="0" distB="0" distL="114300" distR="114300">
            <wp:extent cx="5267960" cy="2476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5DF59"/>
    <w:p w14:paraId="391024F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5.根据第三点的策略进行web端告警通知,web页面右上角有个消息红点类似于qq的消息点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ZmYjMwNjI3ZmVjYzc0M2VmZmZmMmQ4ZWU4ZjA1YWUifQ=="/>
  </w:docVars>
  <w:rsids>
    <w:rsidRoot w:val="00000000"/>
    <w:rsid w:val="706C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2024-07-28T07:08:28Z</dcterms:created>
  <dc:creator>longersking</dc:creator>
  <cp:lastModifiedBy>龙皖莲</cp:lastModifiedBy>
  <dcterms:modified xsi:type="dcterms:W3CDTF">2024-07-28T07:16:01Z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B627B3400D194E5E8364E3CAB216F341_12</vt:lpwstr>
  </property>
</Properties>
</file>