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Commerciante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Corriere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Assistenza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Infrastruttura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Sicurezza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Sistema locker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pagamento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Comune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