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Calibri"/>
        </w:rPr>
        <w:t>Longlong Li</w:t>
      </w:r>
    </w:p>
    <w:p>
      <w:pPr>
        <w:jc w:val="center"/>
      </w:pPr>
      <w:r>
        <w:rPr>
          <w:rFonts w:ascii="Calibri" w:hAnsi="Calibri" w:eastAsia="Calibri"/>
          <w:b/>
          <w:sz w:val="22"/>
        </w:rPr>
        <w:t>Curriculum Vitae | PhD Student, Department of Mechanical Engineering, Chonnam National University</w:t>
      </w:r>
    </w:p>
    <w:p>
      <w:pPr>
        <w:spacing w:after="160"/>
        <w:jc w:val="center"/>
      </w:pPr>
      <w:r>
        <w:rPr>
          <w:rFonts w:ascii="Calibri" w:hAnsi="Calibri" w:eastAsia="Calibri"/>
          <w:sz w:val="19"/>
        </w:rPr>
        <w:t>Gwangju, South Korea</w:t>
      </w:r>
      <w:r>
        <w:rPr>
          <w:rFonts w:ascii="Calibri" w:hAnsi="Calibri" w:eastAsia="Calibri"/>
          <w:sz w:val="19"/>
        </w:rPr>
        <w:t xml:space="preserve">  |  </w:t>
      </w:r>
      <w:r>
        <w:rPr>
          <w:rFonts w:ascii="Calibri" w:hAnsi="Calibri" w:eastAsia="Calibri"/>
          <w:sz w:val="19"/>
        </w:rPr>
        <w:t>lilonglong2000@jnu.ac.kr</w:t>
      </w:r>
      <w:r>
        <w:rPr>
          <w:rFonts w:ascii="Calibri" w:hAnsi="Calibri" w:eastAsia="Calibri"/>
          <w:sz w:val="19"/>
        </w:rPr>
        <w:t xml:space="preserve">  |  </w:t>
      </w:r>
      <w:r>
        <w:rPr>
          <w:rFonts w:ascii="Calibri" w:hAnsi="Calibri" w:eastAsia="Calibri"/>
          <w:sz w:val="19"/>
        </w:rPr>
        <w:t>Homepage: longlongli.com</w:t>
      </w:r>
    </w:p>
    <w:p>
      <w:pPr>
        <w:spacing w:after="200"/>
        <w:ind w:left="72" w:right="72"/>
        <w:pBdr>
          <w:bottom w:val="single" w:sz="6" w:space="4" w:color="B6C4D5"/>
        </w:pBdr>
      </w:pPr>
      <w:r>
        <w:rPr>
          <w:rFonts w:ascii="Calibri" w:hAnsi="Calibri" w:eastAsia="Calibri"/>
          <w:i/>
          <w:sz w:val="20"/>
        </w:rPr>
        <w:t>Research focus: MEMS, micro/nano sensors, and 3D bioelectronic sensing platforms for multimodal electromechanical analysis of engineered cardiac tissue.</w:t>
      </w:r>
    </w:p>
    <w:p>
      <w:pPr>
        <w:pStyle w:val="Heading1"/>
      </w:pPr>
      <w:r>
        <w:rPr>
          <w:rFonts w:ascii="Calibri" w:hAnsi="Calibri" w:eastAsia="Calibri"/>
        </w:rPr>
        <w:t>Education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2022-Present | PhD in Mechanical Engineering, Chonnam National University, Gwangju, South Korea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2018-2022 | B.S. in Mechanical Engineering, Wenzhou University, Wenzhou, China</w:t>
      </w:r>
    </w:p>
    <w:p>
      <w:pPr>
        <w:pStyle w:val="Heading1"/>
      </w:pPr>
      <w:r>
        <w:rPr>
          <w:rFonts w:ascii="Calibri" w:hAnsi="Calibri" w:eastAsia="Calibri"/>
        </w:rPr>
        <w:t>Research Experience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Developing MEMS-enabled and flexible multimodal sensors for electromechanical monitoring of engineered cardiac tissue.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Building 3D bioelectronic platforms for tissue maturation, cardiotoxicity screening, and in vitro cardiac disease modeling.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Integrating strain, electrical, and structural readouts for real-time characterization of cardiac electromechanical behavior.</w:t>
      </w:r>
    </w:p>
    <w:p>
      <w:pPr>
        <w:pStyle w:val="Heading1"/>
      </w:pPr>
      <w:r>
        <w:rPr>
          <w:rFonts w:ascii="Calibri" w:hAnsi="Calibri" w:eastAsia="Calibri"/>
        </w:rPr>
        <w:t>Research Interests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BioMEMS sensing platforms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Engineered cardiac tissue monitoring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Multimodal electromechanical recording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Drug cardiotoxicity evaluation</w:t>
      </w:r>
    </w:p>
    <w:p>
      <w:pPr>
        <w:pStyle w:val="Heading1"/>
      </w:pPr>
      <w:r>
        <w:rPr>
          <w:rFonts w:ascii="Calibri" w:hAnsi="Calibri" w:eastAsia="Calibri"/>
        </w:rPr>
        <w:t>Projects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2026.03-Present | Biomimetic Cardiac Hypoxia Model and Electromechanical Evaluation Platform, MNTL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2024.03-2026.03 | High-Throughput Drug Toxicity Screening Platform Based on 3D Cardiac Tissue, MNTL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2022.09-2024.03 | Regulatory Mechanisms of Graphene Conductive Microenvironments in Cardiomyocyte Electrophysiological Communication and Maturation, MNTL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2022.01-2022.08 | Smart Trash Bin Development, Cixi Zhuoshang Electric Appliance Co., Ltd.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2021.01-2021.12 | Desktop Customized Food 3D Printer, Wenzhou University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2020.01-2020.12 | Toy Storage Robot Based on Visual Recognition and Navigation, Wenzhou University</w:t>
      </w:r>
    </w:p>
    <w:p>
      <w:pPr>
        <w:pStyle w:val="Heading1"/>
      </w:pPr>
      <w:r>
        <w:rPr>
          <w:rFonts w:ascii="Calibri" w:hAnsi="Calibri" w:eastAsia="Calibri"/>
        </w:rPr>
        <w:t>Publications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Graphene SU-8 platform for enhanced cardiomyocyte maturation and intercellular communication in cardiac drug screening. ACS Nano 18(49): 33293-33309.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Harnessing native blueprints for designing bioinks to bioprint functional cardiac tissue. iScience 28(3).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Development of multifunctional PAA-alginate-carboxymethyl cellulose hydrogel-loaded fiber-reinforced biomimetic scaffolds for controlled release of curcumin. International Journal of Biological Macromolecules 301: 140449.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Dual-sensitized hollow SnO2 nanospheres with rGO and Pd for highly sensitive detection of acetone in exhaled breath. Applied Surface Science 696: 162959.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Hydrogel-Integrated Biomimetic Hydroxyapatite Scaffolds with Tunable Porosity for Enhanced Curcumin Delivery. Journal of Drug Delivery Science and Technology, 107572.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Enhancing cardiomyocyte maturation through PEDOT:PSS-coated surfaces and mechanical stimulation with strain sensors. Journal of Micromechanics and Microengineering 35(4): 045002.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InGaN-GaN-MQW-ZnO based e-nose sensors for nitrogen dioxide detection using advanced machine learning approaches. Sensors and Actuators B: Chemical, 138650.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 | Air-Breakdown Triboelectric Nanogenerator Inspired by Transistor Architecture for Low-Force Human-Machine Interfaces. Nano-Micro Letters 18(1): 251.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 | Tilted-angle acoustofluidic separation of live and dead neonatal rat ventricular myocytes using hypotonic cell swelling. Sensors and Actuators B: Chemical.</w:t>
      </w:r>
    </w:p>
    <w:p>
      <w:pPr>
        <w:pStyle w:val="Heading1"/>
      </w:pPr>
      <w:r>
        <w:rPr>
          <w:rFonts w:ascii="Calibri" w:hAnsi="Calibri" w:eastAsia="Calibri"/>
        </w:rPr>
        <w:t>Conferences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2023 | The hybrid cantilever of conductive graphene and su-8 for improving the maturity and electrical coupling of cardiomyocytes. MicroTAS 2023, Katowice, Poland.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Enhancing Cardiomyocyte Maturation via Mechanical Stimulation of 3D Printed Cardiac Tissue Using a Origami-based 3D Sensor and Magnetic Fields. IEEE NANOMED 2024, Hawaii, USA.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Polymer Cantilever Integrated with a Full-Bridge Sensor for Continuous Wireless Measurement of Cardiomyocyte Contractility.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2024 | MONITORING OF DRUG-IMFACTED CARDIOMYOCYTES CONTRACTILITY USING PI MICROCANTILEVER STRUCTURES WITH NANO-SILICON STRAIN SENSOR. MicroTAS 2024, Montreal,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A Dual-Detection Approach for Cardiotoxicity Screening: Utilizing Nano Silicon Strain Sensor and Mea to Monitor Contractility and Field Potential in Cardiomyocytes. IEEE MEMS 2025, Kaohsiung, Taiwan.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Origami-Inspired 3D Sensor Platform for Real-Time Electromechanical Coupling Analysis in Engineered Heart Tissues.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Integrated Bioelectronic Platform Utilizing PEDOT:PSS Strain Sensors for Real-Time Mechanostimulation and Sensing. IEEE SENSORS 2025, Vancouver, Canada.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Development of a Multi-Channel Wireless Monitoring Platform for Long-Term Cardiomyocyte Contraction Assessment Using a Polymer Cantilever with integrated Sensor.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Enhancement of cardiomyocyte microenvironment and functional assessment using through-hole structures with integrated polymer cantilevers. MicroTAS 2025, Adelaide, Australia.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2026 | Multimodal Microelectrode-Microcantilever Array for Electromechanical Analysis of Cardiomyocyte Tissue in Drug Testing. IEEE MEMS 2026, Salzburg, Austria.</w:t>
      </w:r>
    </w:p>
    <w:p>
      <w:pPr>
        <w:pStyle w:val="Heading1"/>
      </w:pPr>
      <w:r>
        <w:rPr>
          <w:rFonts w:ascii="Calibri" w:hAnsi="Calibri" w:eastAsia="Calibri"/>
        </w:rPr>
        <w:t>Patents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4 invention patents, including 3 granted invention patents and 1 invention patent application.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11 utility model patents related to potato harvesters, UAV launch-and-recovery systems, smart trash bins, toy-storage robots, and zinc-alloy dross-skimming robots.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Representative records include Vertical-Folding-Based Clothes Folding Machine (CN113186699B), Household Intelligent Toy Storage Robot (CN112407980B), and Automatic Potato Harvester (CN216415123U).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The full patent archive with bibliographic details and summaries is available on the dedicated Patents page.</w:t>
      </w:r>
    </w:p>
    <w:p>
      <w:pPr>
        <w:pStyle w:val="Heading1"/>
      </w:pPr>
      <w:r>
        <w:rPr>
          <w:rFonts w:ascii="Calibri" w:hAnsi="Calibri" w:eastAsia="Calibri"/>
        </w:rPr>
        <w:t>Awards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BK21 Fellowship Scholarship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2025 | RLRC Outstanding Graduate Student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2021 | China National Scholarship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2019 | Zhejiang Provincial Government Scholarship</w:t>
      </w:r>
    </w:p>
    <w:p>
      <w:pPr>
        <w:pStyle w:val="Heading1"/>
      </w:pPr>
      <w:r>
        <w:rPr>
          <w:rFonts w:ascii="Calibri" w:hAnsi="Calibri" w:eastAsia="Calibri"/>
        </w:rPr>
        <w:t>Technical Skills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Micro/Nanofabrication and Device Development: Proficient in MEMS and flexible sensor micro/nanofabrication processes, device development, and sensor performance characterization.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Tissue Engineering and Cell Culture: Experienced in NRVM and hiPSC-CMs cardiomyocyte culture, 3D engineered heart tissue (EHT) construction, and bioink formulation based on collagen and dECM systems.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Test Systems and Hardware Integration: Capable of independently developing experimental prototypes and building synchronized measurement systems integrating closed-loop control, strain sensors, and microelectrode array (MEA) detection.</w:t>
      </w:r>
    </w:p>
    <w:p>
      <w:pPr>
        <w:spacing w:after="40"/>
        <w:ind w:left="317" w:hanging="259"/>
      </w:pPr>
      <w:r>
        <w:rPr>
          <w:rFonts w:ascii="Calibri" w:hAnsi="Calibri" w:eastAsia="Calibri"/>
          <w:b/>
        </w:rPr>
        <w:t xml:space="preserve">- </w:t>
      </w:r>
      <w:r>
        <w:rPr>
          <w:rFonts w:ascii="Calibri" w:hAnsi="Calibri" w:eastAsia="Calibri"/>
        </w:rPr>
        <w:t>Multimodal Signal Processing: Skilled in Python and MATLAB for processing cardiac electromechanical multimodal signals and extracting key electrophysiological and mechanobiological features.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375"/>
        <w:sz w:val="17"/>
      </w:rPr>
      <w:t>Longlong Li CV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D4E8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D4E8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236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