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Arial"/>
        </w:rPr>
        <w:t>Longlong Li</w:t>
      </w:r>
    </w:p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 xml:space="preserve">PhD Student | BioMEMS / Biosensors / Engineered Cardiac Tissue Monitoring  </w:t>
      </w:r>
      <w:r>
        <w:rPr>
          <w:rFonts w:ascii="Arial" w:hAnsi="Arial" w:eastAsia="Arial"/>
          <w:b/>
          <w:sz w:val="20"/>
        </w:rPr>
        <w:t xml:space="preserve">Department of Mechanical Engineering, Chonnam National University  </w:t>
      </w:r>
    </w:p>
    <w:p>
      <w:pPr>
        <w:spacing w:after="80"/>
        <w:jc w:val="center"/>
      </w:pPr>
      <w:r>
        <w:rPr>
          <w:rFonts w:ascii="Arial" w:hAnsi="Arial" w:eastAsia="Arial"/>
          <w:sz w:val="17"/>
        </w:rPr>
        <w:t>Gwangju, South Korea</w:t>
      </w:r>
      <w:r>
        <w:rPr>
          <w:rFonts w:ascii="Arial" w:hAnsi="Arial" w:eastAsia="Arial"/>
          <w:sz w:val="17"/>
        </w:rPr>
        <w:t xml:space="preserve"> | </w:t>
      </w:r>
      <w:r>
        <w:rPr>
          <w:rFonts w:ascii="Arial" w:hAnsi="Arial" w:eastAsia="Arial"/>
          <w:sz w:val="17"/>
        </w:rPr>
        <w:t>lilonglong2000@jnu.ac.kr</w:t>
      </w:r>
      <w:r>
        <w:rPr>
          <w:rFonts w:ascii="Arial" w:hAnsi="Arial" w:eastAsia="Arial"/>
          <w:sz w:val="17"/>
        </w:rPr>
        <w:t xml:space="preserve"> | </w:t>
      </w:r>
      <w:r>
        <w:rPr>
          <w:rFonts w:ascii="Arial" w:hAnsi="Arial" w:eastAsia="Arial"/>
          <w:sz w:val="17"/>
        </w:rPr>
        <w:t>Homepage: longlongli.com</w:t>
      </w:r>
    </w:p>
    <w:p>
      <w:pPr>
        <w:spacing w:after="160"/>
        <w:ind w:left="43" w:right="43"/>
        <w:pBdr>
          <w:bottom w:val="single" w:sz="4" w:space="2" w:color="B6C4D5"/>
        </w:pBdr>
      </w:pPr>
      <w:r>
        <w:rPr>
          <w:rFonts w:ascii="Arial" w:hAnsi="Arial" w:eastAsia="Arial"/>
          <w:i/>
          <w:sz w:val="18"/>
        </w:rPr>
        <w:t>Condensed version for HR screening, R&amp;D roles, and industry-facing applications.</w:t>
      </w:r>
    </w:p>
    <w:p>
      <w:pPr>
        <w:pStyle w:val="Heading1"/>
      </w:pPr>
      <w:r>
        <w:rPr>
          <w:rFonts w:ascii="Arial" w:hAnsi="Arial" w:eastAsia="Arial"/>
        </w:rPr>
        <w:t>Profile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PhD student specializing in BioMEMS, multimodal biosensors, engineered cardiac tissue monitoring, and drug cardiotoxicity evaluation.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Experienced in MEMS device design, microfabrication, cell and tissue culture, sensing system integration, and multimodal biosignal analysis.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Develops strain-sensor / microelectrode-array platforms for synchronized and quantitative assessment of cardiac tissue function.</w:t>
      </w:r>
    </w:p>
    <w:p>
      <w:pPr>
        <w:pStyle w:val="Heading1"/>
      </w:pPr>
      <w:r>
        <w:rPr>
          <w:rFonts w:ascii="Arial" w:hAnsi="Arial" w:eastAsia="Arial"/>
        </w:rPr>
        <w:t>Education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2022-Present | Ph.D. in Mechanical Engineering, Chonnam National University, Gwangju, South Korea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2018-2022 | B.Eng. in Mechanical Engineering, Wenzhou University, Wenzhou, China</w:t>
      </w:r>
    </w:p>
    <w:p>
      <w:pPr>
        <w:pStyle w:val="Heading1"/>
      </w:pPr>
      <w:r>
        <w:rPr>
          <w:rFonts w:ascii="Arial" w:hAnsi="Arial" w:eastAsia="Arial"/>
        </w:rPr>
        <w:t>Research Experience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Designed BioMEMS-based multimodal sensing platforms for engineered cardiac tissues.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Integrated strain sensors and microelectrode arrays for synchronized monitoring of contraction and electrical activity.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Built 3D cardiac tissue culture, drug stimulation, and signal-analysis workflows for cardiotoxicity screening and disease modeling.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Developed low-noise measurement setups involving microscopy, sensor calibration, DAQ, and multimodal data analysis.</w:t>
      </w:r>
    </w:p>
    <w:p>
      <w:pPr>
        <w:pStyle w:val="Heading1"/>
      </w:pPr>
      <w:r>
        <w:rPr>
          <w:rFonts w:ascii="Arial" w:hAnsi="Arial" w:eastAsia="Arial"/>
        </w:rPr>
        <w:t>Technical Skills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Microfabrication: Photolithography, metal deposition, SU-8 / PI processing, MEMS sensor fabrication.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Biosensing: Strain sensors, microelectrode arrays, electromechanical monitoring, sensor calibration.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Cell &amp; Tissue Engineering: NRVM / hiPSC-CMs culture, engineered heart tissue construction, collagen / dECM bioinks.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Data Analysis: MATLAB, Python, cardiac signal processing, feature extraction, visualization.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System Integration: DAQ systems, amplifier circuits, microscopy, automated measurement platforms.</w:t>
      </w:r>
    </w:p>
    <w:p>
      <w:pPr>
        <w:pStyle w:val="Heading1"/>
      </w:pPr>
      <w:r>
        <w:rPr>
          <w:rFonts w:ascii="Arial" w:hAnsi="Arial" w:eastAsia="Arial"/>
        </w:rPr>
        <w:t>Selected Projects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Bioinspired Hypoxic Cardiac Model and Electromechanical Evaluation Platform | 2026.03-Present | MNTL | Developed an in vitro cardiac hypoxia model with integrated electromechanical readouts for disease-relevant tissue assessment.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High-Throughput Drug Toxicity Screening Platform Based on 3D Cardiac Tissues | 2024.03-2026.03 | MNTL | Designed a 3D cardiac tissue-based platform integrating mechanical and electrophysiological sensing for cardiotoxicity evaluation.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Graphene-Conductive Microenvironment for Cardiomyocyte Maturation and Electrophysiological Communication | 2022.09-2024.03 | MNTL | Developed graphene/SU-8 platforms and contributed to publication and conference outputs.</w:t>
      </w:r>
    </w:p>
    <w:p>
      <w:pPr>
        <w:pStyle w:val="Heading1"/>
      </w:pPr>
      <w:r>
        <w:rPr>
          <w:rFonts w:ascii="Arial" w:hAnsi="Arial" w:eastAsia="Arial"/>
        </w:rPr>
        <w:t>Selected Publications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Graphene SU-8 platform for enhanced cardiomyocyte maturation and intercellular communication in cardiac drug screening. Longlong Li et al. ACS Nano 18(49): 33293-33309, 2024. First author.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Harnessing native blueprints for designing bioinks to bioprint functional cardiac tissue. Mst Zobaida Akter et al.; Longlong Li among co-authors. iScience 28(3), 2025.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Development of multifunctional PAA-alginate-carboxymethyl cellulose hydrogel-loaded fiber-reinforced biomimetic scaffolds for controlled release of curcumin. Kamrun Nahar Fatema, Longlong Li et al. International Journal of Biological Macromolecules 301: 140449, 2025.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Enhancing cardiomyocyte maturation through PEDOT:PSS-coated surfaces and mechanical stimulation with strain sensors. Jongyun Kim, Longlong Li et al. Journal of Micromechanics and Microengineering 35(4): 045002, 2025.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Air-Breakdown Triboelectric Nanogenerator Inspired by Transistor Architecture for Low-Force Human-Machine Interfaces. Karthikeyan Munirathinam, Longlong Li et al. Nano-Micro Letters 18(1): 251, 2026.</w:t>
      </w:r>
    </w:p>
    <w:p>
      <w:pPr>
        <w:pStyle w:val="Heading1"/>
      </w:pPr>
      <w:r>
        <w:rPr>
          <w:rFonts w:ascii="Arial" w:hAnsi="Arial" w:eastAsia="Arial"/>
        </w:rPr>
        <w:t>Selected Conferences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IEEE NANOMED 2024 | Enhancing Cardiomyocyte Maturation via Mechanical Stimulation of 3D Printed Cardiac Tissue Using a Origami-based 3D Sensor and Magnetic Fields.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IEEE MEMS 2025 | A Dual-Detection Approach for Cardiotoxicity Screening: Utilizing Nano Silicon Strain Sensor and MEA to Monitor Contractility and Field Potential in Cardiomyocytes.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IEEE SENSORS 2025 | Origami-Inspired 3D Sensor Platform for Real-Time Electromechanical Coupling Analysis in Engineered Heart Tissues.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MicroTAS 2025 | Development of a Multi-Channel Wireless Monitoring Platform for Long-Term Cardiomyocyte Contraction Assessment Using a Polymer Cantilever with Integrated Sensor.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IEEE MEMS 2026 | Multimodal Microelectrode-Microcantilever Array for Electromechanical Analysis of Cardiomyocyte Tissue in Drug Testing.</w:t>
      </w:r>
    </w:p>
    <w:p>
      <w:pPr>
        <w:pStyle w:val="Heading1"/>
      </w:pPr>
      <w:r>
        <w:rPr>
          <w:rFonts w:ascii="Arial" w:hAnsi="Arial" w:eastAsia="Arial"/>
        </w:rPr>
        <w:t>Patent Summary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15 patents in total: 4 invention patents, including 3 granted invention patents and 1 published invention patent application.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11 utility model patents spanning agricultural equipment, smart devices, robotics, and electromechanical systems.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Representative patents: Vertical-Folding-Based Clothes Folding Machine (CN113186699B), Household Intelligent Toy Storage Robot (CN112407980B), Automatic Potato Harvester (CN216415123U), Intelligent Launch-and-Recovery Management Device for UAV Swarms (CN216269980U).</w:t>
      </w:r>
    </w:p>
    <w:p>
      <w:pPr>
        <w:pStyle w:val="Heading1"/>
      </w:pPr>
      <w:r>
        <w:rPr>
          <w:rFonts w:ascii="Arial" w:hAnsi="Arial" w:eastAsia="Arial"/>
        </w:rPr>
        <w:t>Awards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2025 | BK21 Fellowship Scholarship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2025 | RLRC Outstanding Graduate Student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2021 | China National Scholarship</w:t>
      </w:r>
    </w:p>
    <w:p>
      <w:pPr>
        <w:spacing w:after="20"/>
        <w:ind w:left="259" w:hanging="202"/>
      </w:pPr>
      <w:r>
        <w:rPr>
          <w:rFonts w:ascii="Arial" w:hAnsi="Arial" w:eastAsia="Arial"/>
          <w:b/>
        </w:rPr>
        <w:t xml:space="preserve">- </w:t>
      </w:r>
      <w:r>
        <w:rPr>
          <w:rFonts w:ascii="Arial" w:hAnsi="Arial" w:eastAsia="Arial"/>
        </w:rPr>
        <w:t>2019 | Zhejiang Provincial Government Scholarship</w:t>
      </w:r>
    </w:p>
    <w:sectPr w:rsidR="00FC693F" w:rsidRPr="0006063C" w:rsidSect="00034616">
      <w:footerReference w:type="default" r:id="rId9"/>
      <w:pgSz w:w="12240" w:h="15840"/>
      <w:pgMar w:top="1123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375"/>
        <w:sz w:val="16"/>
      </w:rPr>
      <w:t>Longlong_Li_Resume_EN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8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236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