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Theme="minorEastAsia" w:hAnsiTheme="minorEastAsia" w:eastAsiaTheme="minorEastAsia" w:cstheme="minorEastAsia"/>
          <w:sz w:val="24"/>
          <w:szCs w:val="24"/>
        </w:rPr>
      </w:pPr>
    </w:p>
    <w:p>
      <w:pPr>
        <w:outlineLvl w:val="0"/>
        <w:rPr>
          <w:rFonts w:hint="eastAsia" w:ascii="仿宋_GB2312" w:eastAsia="仿宋_GB2312"/>
          <w:b/>
          <w:bCs/>
          <w:sz w:val="36"/>
        </w:rPr>
      </w:pPr>
      <w:r>
        <w:rPr>
          <w:rFonts w:hint="eastAsia" w:ascii="仿宋_GB2312" w:eastAsia="仿宋_GB2312"/>
          <w:b/>
          <w:bCs/>
          <w:sz w:val="36"/>
        </w:rPr>
        <w:t>五邑大学大作业设计报告</w:t>
      </w:r>
    </w:p>
    <w:p>
      <w:pPr>
        <w:outlineLvl w:val="0"/>
        <w:rPr>
          <w:rFonts w:hint="eastAsia" w:ascii="仿宋_GB2312" w:eastAsia="仿宋_GB2312"/>
          <w:b/>
          <w:bCs/>
          <w:sz w:val="36"/>
          <w:lang w:val="en-US" w:eastAsia="zh-CN"/>
        </w:rPr>
      </w:pPr>
      <w:r>
        <w:rPr>
          <w:rFonts w:hint="eastAsia" w:ascii="仿宋_GB2312" w:eastAsia="仿宋_GB2312"/>
          <w:b/>
          <w:bCs/>
          <w:sz w:val="36"/>
          <w:lang w:val="en-US" w:eastAsia="zh-CN"/>
        </w:rPr>
        <w:t xml:space="preserve"> </w:t>
      </w:r>
    </w:p>
    <w:p>
      <w:pPr>
        <w:rPr>
          <w:rFonts w:hint="eastAsia"/>
        </w:rPr>
      </w:pPr>
      <w:r>
        <w:rPr>
          <w:rFonts w:hint="eastAsia"/>
          <w:lang w:val="en-US" w:eastAsia="zh-CN"/>
        </w:rPr>
        <w:t xml:space="preserve">              </w:t>
      </w:r>
      <w:r>
        <w:rPr>
          <w:rFonts w:hint="eastAsia"/>
        </w:rPr>
        <w:drawing>
          <wp:inline distT="0" distB="0" distL="0" distR="0">
            <wp:extent cx="2867025" cy="828675"/>
            <wp:effectExtent l="0" t="0" r="133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srcRect/>
                    <a:stretch>
                      <a:fillRect/>
                    </a:stretch>
                  </pic:blipFill>
                  <pic:spPr>
                    <a:xfrm>
                      <a:off x="0" y="0"/>
                      <a:ext cx="2867025" cy="828675"/>
                    </a:xfrm>
                    <a:prstGeom prst="rect">
                      <a:avLst/>
                    </a:prstGeom>
                    <a:noFill/>
                    <a:ln w="9525">
                      <a:noFill/>
                      <a:miter lim="800000"/>
                      <a:headEnd/>
                      <a:tailEnd/>
                    </a:ln>
                  </pic:spPr>
                </pic:pic>
              </a:graphicData>
            </a:graphic>
          </wp:inline>
        </w:drawing>
      </w:r>
    </w:p>
    <w:p>
      <w:pPr>
        <w:rPr>
          <w:rFonts w:hint="eastAsia"/>
        </w:rPr>
      </w:pPr>
    </w:p>
    <w:p>
      <w:pPr>
        <w:rPr>
          <w:rFonts w:hint="eastAsia"/>
        </w:rPr>
      </w:pPr>
    </w:p>
    <w:p>
      <w:pPr>
        <w:rPr>
          <w:rFonts w:hint="eastAsia"/>
        </w:rPr>
      </w:pPr>
    </w:p>
    <w:p>
      <w:pPr>
        <w:rPr>
          <w:rFonts w:hint="default" w:eastAsia="仿宋_GB2312"/>
          <w:b/>
          <w:bCs/>
          <w:sz w:val="30"/>
          <w:szCs w:val="30"/>
          <w:lang w:val="en-US" w:eastAsia="zh-CN"/>
        </w:rPr>
      </w:pPr>
      <w:r>
        <w:rPr>
          <w:rFonts w:hint="eastAsia" w:eastAsia="仿宋_GB2312"/>
          <w:b/>
          <w:bCs/>
          <w:sz w:val="30"/>
          <w:szCs w:val="30"/>
        </w:rPr>
        <w:t>课程名称：</w:t>
      </w:r>
      <w:r>
        <w:rPr>
          <w:rFonts w:hint="eastAsia" w:eastAsia="仿宋_GB2312"/>
          <w:b/>
          <w:bCs/>
          <w:sz w:val="30"/>
          <w:szCs w:val="30"/>
          <w:lang w:val="en-US" w:eastAsia="zh-CN"/>
        </w:rPr>
        <w:t>数据安全技术</w:t>
      </w:r>
    </w:p>
    <w:p>
      <w:pPr>
        <w:rPr>
          <w:rFonts w:hint="eastAsia" w:eastAsia="仿宋_GB2312"/>
          <w:b/>
          <w:bCs/>
          <w:sz w:val="30"/>
          <w:szCs w:val="30"/>
        </w:rPr>
      </w:pPr>
    </w:p>
    <w:p>
      <w:pPr>
        <w:rPr>
          <w:rFonts w:hint="eastAsia" w:eastAsia="仿宋_GB2312"/>
          <w:b/>
          <w:bCs/>
          <w:sz w:val="30"/>
          <w:szCs w:val="30"/>
        </w:rPr>
      </w:pPr>
    </w:p>
    <w:p>
      <w:pPr>
        <w:rPr>
          <w:rFonts w:hint="eastAsia" w:eastAsia="仿宋_GB2312"/>
          <w:b/>
          <w:bCs/>
          <w:sz w:val="30"/>
          <w:szCs w:val="30"/>
        </w:rPr>
      </w:pPr>
    </w:p>
    <w:tbl>
      <w:tblPr>
        <w:tblStyle w:val="5"/>
        <w:tblW w:w="6360" w:type="dxa"/>
        <w:jc w:val="center"/>
        <w:tblInd w:w="-309" w:type="dxa"/>
        <w:tblLayout w:type="fixed"/>
        <w:tblCellMar>
          <w:top w:w="0" w:type="dxa"/>
          <w:left w:w="108" w:type="dxa"/>
          <w:bottom w:w="0" w:type="dxa"/>
          <w:right w:w="108" w:type="dxa"/>
        </w:tblCellMar>
      </w:tblPr>
      <w:tblGrid>
        <w:gridCol w:w="1626"/>
        <w:gridCol w:w="4734"/>
      </w:tblGrid>
      <w:tr>
        <w:tblPrEx>
          <w:tblLayout w:type="fixed"/>
          <w:tblCellMar>
            <w:top w:w="0" w:type="dxa"/>
            <w:left w:w="108" w:type="dxa"/>
            <w:bottom w:w="0" w:type="dxa"/>
            <w:right w:w="108" w:type="dxa"/>
          </w:tblCellMar>
        </w:tblPrEx>
        <w:trPr>
          <w:trHeight w:val="552" w:hRule="atLeast"/>
          <w:jc w:val="center"/>
        </w:trPr>
        <w:tc>
          <w:tcPr>
            <w:tcW w:w="1626" w:type="dxa"/>
            <w:vAlign w:val="bottom"/>
          </w:tcPr>
          <w:p>
            <w:pPr>
              <w:spacing w:line="360" w:lineRule="auto"/>
              <w:jc w:val="center"/>
              <w:rPr>
                <w:rFonts w:ascii="仿宋_GB2312" w:eastAsia="仿宋_GB2312"/>
                <w:b/>
                <w:bCs/>
                <w:sz w:val="30"/>
              </w:rPr>
            </w:pPr>
            <w:r>
              <w:rPr>
                <w:rFonts w:hint="eastAsia" w:ascii="仿宋_GB2312" w:eastAsia="仿宋_GB2312"/>
                <w:b/>
                <w:bCs/>
                <w:sz w:val="30"/>
              </w:rPr>
              <w:t>姓名：</w:t>
            </w:r>
          </w:p>
        </w:tc>
        <w:tc>
          <w:tcPr>
            <w:tcW w:w="4734" w:type="dxa"/>
            <w:tcBorders>
              <w:bottom w:val="single" w:color="auto" w:sz="4" w:space="0"/>
            </w:tcBorders>
            <w:vAlign w:val="center"/>
          </w:tcPr>
          <w:p>
            <w:pPr>
              <w:spacing w:line="360" w:lineRule="auto"/>
              <w:ind w:firstLine="1506" w:firstLineChars="500"/>
              <w:jc w:val="both"/>
              <w:rPr>
                <w:rFonts w:hint="eastAsia" w:ascii="宋体" w:hAnsi="宋体" w:eastAsia="宋体"/>
                <w:b/>
                <w:bCs/>
                <w:sz w:val="30"/>
                <w:lang w:val="en-US" w:eastAsia="zh-CN"/>
              </w:rPr>
            </w:pPr>
            <w:r>
              <w:rPr>
                <w:rFonts w:hint="eastAsia" w:ascii="宋体" w:hAnsi="宋体"/>
                <w:b/>
                <w:bCs/>
                <w:sz w:val="30"/>
                <w:lang w:val="en-US" w:eastAsia="zh-CN"/>
              </w:rPr>
              <w:t>陈子龙</w:t>
            </w:r>
          </w:p>
        </w:tc>
      </w:tr>
      <w:tr>
        <w:tblPrEx>
          <w:tblLayout w:type="fixed"/>
          <w:tblCellMar>
            <w:top w:w="0" w:type="dxa"/>
            <w:left w:w="108" w:type="dxa"/>
            <w:bottom w:w="0" w:type="dxa"/>
            <w:right w:w="108" w:type="dxa"/>
          </w:tblCellMar>
        </w:tblPrEx>
        <w:trPr>
          <w:trHeight w:val="387" w:hRule="atLeast"/>
          <w:jc w:val="center"/>
        </w:trPr>
        <w:tc>
          <w:tcPr>
            <w:tcW w:w="1626" w:type="dxa"/>
            <w:vAlign w:val="bottom"/>
          </w:tcPr>
          <w:p>
            <w:pPr>
              <w:spacing w:line="360" w:lineRule="auto"/>
              <w:jc w:val="center"/>
              <w:rPr>
                <w:rFonts w:ascii="仿宋_GB2312" w:eastAsia="仿宋_GB2312"/>
                <w:b/>
                <w:bCs/>
                <w:sz w:val="30"/>
              </w:rPr>
            </w:pPr>
            <w:r>
              <w:rPr>
                <w:rFonts w:hint="eastAsia" w:ascii="仿宋_GB2312" w:eastAsia="仿宋_GB2312"/>
                <w:b/>
                <w:bCs/>
                <w:sz w:val="30"/>
              </w:rPr>
              <w:t>学号：</w:t>
            </w:r>
          </w:p>
        </w:tc>
        <w:tc>
          <w:tcPr>
            <w:tcW w:w="4734" w:type="dxa"/>
            <w:tcBorders>
              <w:top w:val="single" w:color="auto" w:sz="4" w:space="0"/>
              <w:bottom w:val="single" w:color="auto" w:sz="4" w:space="0"/>
            </w:tcBorders>
            <w:vAlign w:val="center"/>
          </w:tcPr>
          <w:p>
            <w:pPr>
              <w:spacing w:line="360" w:lineRule="auto"/>
              <w:jc w:val="center"/>
              <w:rPr>
                <w:rFonts w:hint="default" w:ascii="宋体" w:hAnsi="宋体" w:eastAsia="宋体"/>
                <w:b/>
                <w:bCs/>
                <w:sz w:val="30"/>
                <w:lang w:val="en-US" w:eastAsia="zh-CN"/>
              </w:rPr>
            </w:pPr>
            <w:r>
              <w:rPr>
                <w:rFonts w:hint="eastAsia" w:ascii="宋体" w:hAnsi="宋体"/>
                <w:b/>
                <w:bCs/>
                <w:sz w:val="30"/>
                <w:lang w:val="en-US" w:eastAsia="zh-CN"/>
              </w:rPr>
              <w:t>3116003896</w:t>
            </w:r>
          </w:p>
        </w:tc>
      </w:tr>
      <w:tr>
        <w:tblPrEx>
          <w:tblLayout w:type="fixed"/>
          <w:tblCellMar>
            <w:top w:w="0" w:type="dxa"/>
            <w:left w:w="108" w:type="dxa"/>
            <w:bottom w:w="0" w:type="dxa"/>
            <w:right w:w="108" w:type="dxa"/>
          </w:tblCellMar>
        </w:tblPrEx>
        <w:trPr>
          <w:trHeight w:val="440" w:hRule="atLeast"/>
          <w:jc w:val="center"/>
        </w:trPr>
        <w:tc>
          <w:tcPr>
            <w:tcW w:w="1626" w:type="dxa"/>
            <w:vAlign w:val="bottom"/>
          </w:tcPr>
          <w:p>
            <w:pPr>
              <w:spacing w:line="360" w:lineRule="auto"/>
              <w:jc w:val="center"/>
              <w:rPr>
                <w:rFonts w:ascii="仿宋_GB2312" w:eastAsia="仿宋_GB2312"/>
                <w:b/>
                <w:bCs/>
                <w:sz w:val="30"/>
              </w:rPr>
            </w:pPr>
            <w:r>
              <w:rPr>
                <w:rFonts w:hint="eastAsia" w:ascii="仿宋_GB2312" w:eastAsia="仿宋_GB2312"/>
                <w:b/>
                <w:bCs/>
                <w:sz w:val="30"/>
              </w:rPr>
              <w:t>院系：</w:t>
            </w:r>
          </w:p>
        </w:tc>
        <w:tc>
          <w:tcPr>
            <w:tcW w:w="4734" w:type="dxa"/>
            <w:tcBorders>
              <w:top w:val="single" w:color="auto" w:sz="4" w:space="0"/>
              <w:bottom w:val="single" w:color="auto" w:sz="4" w:space="0"/>
            </w:tcBorders>
            <w:vAlign w:val="center"/>
          </w:tcPr>
          <w:p>
            <w:pPr>
              <w:spacing w:line="360" w:lineRule="auto"/>
              <w:jc w:val="center"/>
              <w:rPr>
                <w:rFonts w:ascii="宋体" w:hAnsi="宋体"/>
                <w:b/>
                <w:bCs/>
                <w:sz w:val="30"/>
              </w:rPr>
            </w:pPr>
            <w:r>
              <w:rPr>
                <w:rFonts w:hint="eastAsia" w:ascii="宋体" w:hAnsi="宋体"/>
                <w:b/>
                <w:bCs/>
                <w:sz w:val="30"/>
                <w:lang w:val="en-US" w:eastAsia="zh-CN"/>
              </w:rPr>
              <w:t xml:space="preserve">  </w:t>
            </w:r>
            <w:r>
              <w:rPr>
                <w:rFonts w:hint="eastAsia" w:ascii="宋体" w:hAnsi="宋体"/>
                <w:b/>
                <w:bCs/>
                <w:sz w:val="30"/>
              </w:rPr>
              <w:t>智能制造学部</w:t>
            </w:r>
          </w:p>
        </w:tc>
      </w:tr>
      <w:tr>
        <w:tblPrEx>
          <w:tblLayout w:type="fixed"/>
          <w:tblCellMar>
            <w:top w:w="0" w:type="dxa"/>
            <w:left w:w="108" w:type="dxa"/>
            <w:bottom w:w="0" w:type="dxa"/>
            <w:right w:w="108" w:type="dxa"/>
          </w:tblCellMar>
        </w:tblPrEx>
        <w:trPr>
          <w:trHeight w:val="440" w:hRule="atLeast"/>
          <w:jc w:val="center"/>
        </w:trPr>
        <w:tc>
          <w:tcPr>
            <w:tcW w:w="1626" w:type="dxa"/>
            <w:vAlign w:val="bottom"/>
          </w:tcPr>
          <w:p>
            <w:pPr>
              <w:spacing w:line="360" w:lineRule="auto"/>
              <w:jc w:val="center"/>
              <w:rPr>
                <w:rFonts w:ascii="仿宋_GB2312" w:eastAsia="仿宋_GB2312"/>
                <w:b/>
                <w:bCs/>
                <w:sz w:val="30"/>
              </w:rPr>
            </w:pPr>
            <w:r>
              <w:rPr>
                <w:rFonts w:hint="eastAsia" w:ascii="仿宋_GB2312" w:eastAsia="仿宋_GB2312"/>
                <w:b/>
                <w:bCs/>
                <w:sz w:val="30"/>
              </w:rPr>
              <w:t>专业：</w:t>
            </w:r>
          </w:p>
        </w:tc>
        <w:tc>
          <w:tcPr>
            <w:tcW w:w="4734" w:type="dxa"/>
            <w:tcBorders>
              <w:top w:val="single" w:color="auto" w:sz="4" w:space="0"/>
              <w:bottom w:val="single" w:color="auto" w:sz="4" w:space="0"/>
            </w:tcBorders>
            <w:vAlign w:val="center"/>
          </w:tcPr>
          <w:p>
            <w:pPr>
              <w:spacing w:line="360" w:lineRule="auto"/>
              <w:ind w:firstLine="1506" w:firstLineChars="500"/>
              <w:jc w:val="both"/>
              <w:rPr>
                <w:rFonts w:hint="eastAsia" w:ascii="宋体" w:hAnsi="宋体" w:eastAsia="宋体"/>
                <w:b/>
                <w:bCs/>
                <w:sz w:val="30"/>
                <w:lang w:val="en-US" w:eastAsia="zh-CN"/>
              </w:rPr>
            </w:pPr>
            <w:r>
              <w:rPr>
                <w:rFonts w:hint="eastAsia" w:ascii="宋体" w:hAnsi="宋体"/>
                <w:b/>
                <w:bCs/>
                <w:sz w:val="30"/>
                <w:lang w:val="en-US" w:eastAsia="zh-CN"/>
              </w:rPr>
              <w:t>信息安全</w:t>
            </w:r>
          </w:p>
        </w:tc>
      </w:tr>
      <w:tr>
        <w:tblPrEx>
          <w:tblLayout w:type="fixed"/>
          <w:tblCellMar>
            <w:top w:w="0" w:type="dxa"/>
            <w:left w:w="108" w:type="dxa"/>
            <w:bottom w:w="0" w:type="dxa"/>
            <w:right w:w="108" w:type="dxa"/>
          </w:tblCellMar>
        </w:tblPrEx>
        <w:trPr>
          <w:trHeight w:val="440" w:hRule="atLeast"/>
          <w:jc w:val="center"/>
        </w:trPr>
        <w:tc>
          <w:tcPr>
            <w:tcW w:w="1626" w:type="dxa"/>
            <w:vAlign w:val="bottom"/>
          </w:tcPr>
          <w:p>
            <w:pPr>
              <w:spacing w:line="360" w:lineRule="auto"/>
              <w:jc w:val="center"/>
              <w:rPr>
                <w:rFonts w:hint="eastAsia" w:ascii="仿宋_GB2312" w:eastAsia="仿宋_GB2312"/>
                <w:b/>
                <w:bCs/>
                <w:sz w:val="30"/>
                <w:lang w:val="en-US" w:eastAsia="zh-CN"/>
              </w:rPr>
            </w:pPr>
            <w:r>
              <w:rPr>
                <w:rFonts w:hint="eastAsia" w:ascii="仿宋_GB2312" w:eastAsia="仿宋_GB2312"/>
                <w:b/>
                <w:bCs/>
                <w:sz w:val="30"/>
                <w:lang w:val="en-US" w:eastAsia="zh-CN"/>
              </w:rPr>
              <w:t>指导老师：</w:t>
            </w:r>
          </w:p>
        </w:tc>
        <w:tc>
          <w:tcPr>
            <w:tcW w:w="4734" w:type="dxa"/>
            <w:tcBorders>
              <w:top w:val="single" w:color="auto" w:sz="4" w:space="0"/>
              <w:bottom w:val="single" w:color="auto" w:sz="4" w:space="0"/>
            </w:tcBorders>
            <w:vAlign w:val="center"/>
          </w:tcPr>
          <w:p>
            <w:pPr>
              <w:spacing w:line="360" w:lineRule="auto"/>
              <w:jc w:val="both"/>
              <w:rPr>
                <w:rFonts w:hint="default" w:ascii="宋体" w:hAnsi="宋体"/>
                <w:b/>
                <w:bCs/>
                <w:sz w:val="30"/>
                <w:lang w:val="en-US" w:eastAsia="zh-CN"/>
              </w:rPr>
            </w:pPr>
            <w:r>
              <w:rPr>
                <w:rFonts w:hint="eastAsia" w:ascii="宋体" w:hAnsi="宋体"/>
                <w:b/>
                <w:bCs/>
                <w:sz w:val="30"/>
                <w:lang w:val="en-US" w:eastAsia="zh-CN"/>
              </w:rPr>
              <w:t xml:space="preserve">          温强</w:t>
            </w:r>
          </w:p>
        </w:tc>
      </w:tr>
      <w:tr>
        <w:tblPrEx>
          <w:tblLayout w:type="fixed"/>
          <w:tblCellMar>
            <w:top w:w="0" w:type="dxa"/>
            <w:left w:w="108" w:type="dxa"/>
            <w:bottom w:w="0" w:type="dxa"/>
            <w:right w:w="108" w:type="dxa"/>
          </w:tblCellMar>
        </w:tblPrEx>
        <w:trPr>
          <w:trHeight w:val="440" w:hRule="atLeast"/>
          <w:jc w:val="center"/>
        </w:trPr>
        <w:tc>
          <w:tcPr>
            <w:tcW w:w="1626" w:type="dxa"/>
            <w:vAlign w:val="bottom"/>
          </w:tcPr>
          <w:p>
            <w:pPr>
              <w:spacing w:line="360" w:lineRule="auto"/>
              <w:jc w:val="center"/>
              <w:rPr>
                <w:rFonts w:hint="default" w:ascii="仿宋_GB2312" w:eastAsia="仿宋_GB2312"/>
                <w:b/>
                <w:bCs/>
                <w:sz w:val="30"/>
                <w:lang w:val="en-US" w:eastAsia="zh-CN"/>
              </w:rPr>
            </w:pPr>
            <w:bookmarkStart w:id="0" w:name="_GoBack"/>
            <w:r>
              <w:rPr>
                <w:rFonts w:hint="eastAsia" w:ascii="仿宋_GB2312" w:eastAsia="仿宋_GB2312"/>
                <w:b/>
                <w:bCs/>
                <w:sz w:val="30"/>
                <w:lang w:val="en-US" w:eastAsia="zh-CN"/>
              </w:rPr>
              <w:t>题目：</w:t>
            </w:r>
          </w:p>
        </w:tc>
        <w:tc>
          <w:tcPr>
            <w:tcW w:w="4734" w:type="dxa"/>
            <w:tcBorders>
              <w:top w:val="single" w:color="auto" w:sz="4" w:space="0"/>
              <w:bottom w:val="single" w:color="auto" w:sz="4" w:space="0"/>
            </w:tcBorders>
            <w:vAlign w:val="center"/>
          </w:tcPr>
          <w:p>
            <w:pPr>
              <w:spacing w:line="360" w:lineRule="auto"/>
              <w:ind w:firstLine="1446" w:firstLineChars="600"/>
              <w:jc w:val="both"/>
              <w:rPr>
                <w:rFonts w:hint="eastAsia" w:ascii="宋体" w:hAnsi="宋体"/>
                <w:b/>
                <w:bCs/>
                <w:sz w:val="30"/>
                <w:lang w:val="en-US" w:eastAsia="zh-CN"/>
              </w:rPr>
            </w:pPr>
            <w:r>
              <w:rPr>
                <w:rFonts w:hint="eastAsia" w:asciiTheme="minorEastAsia" w:hAnsiTheme="minorEastAsia" w:eastAsiaTheme="minorEastAsia" w:cstheme="minorEastAsia"/>
                <w:b/>
                <w:bCs/>
                <w:sz w:val="24"/>
                <w:szCs w:val="24"/>
              </w:rPr>
              <w:t>数据机房设计方案</w:t>
            </w:r>
          </w:p>
        </w:tc>
      </w:tr>
      <w:bookmarkEnd w:id="0"/>
    </w:tbl>
    <w:p>
      <w:pPr>
        <w:rPr>
          <w:rFonts w:hint="eastAsia" w:eastAsia="仿宋_GB2312"/>
          <w:b/>
          <w:bCs/>
          <w:sz w:val="30"/>
          <w:szCs w:val="30"/>
        </w:rPr>
      </w:pPr>
    </w:p>
    <w:p>
      <w:pPr>
        <w:rPr>
          <w:rFonts w:hint="eastAsia" w:eastAsia="仿宋_GB2312"/>
          <w:b/>
          <w:bCs/>
          <w:sz w:val="30"/>
          <w:szCs w:val="30"/>
          <w:lang w:val="en-US" w:eastAsia="zh-CN"/>
        </w:rPr>
      </w:pPr>
      <w:r>
        <w:rPr>
          <w:rFonts w:hint="eastAsia" w:eastAsia="仿宋_GB2312"/>
          <w:b/>
          <w:bCs/>
          <w:sz w:val="30"/>
          <w:szCs w:val="30"/>
          <w:lang w:val="en-US" w:eastAsia="zh-CN"/>
        </w:rPr>
        <w:t>GitHub：</w:t>
      </w:r>
    </w:p>
    <w:p>
      <w:pPr>
        <w:rPr>
          <w:rFonts w:hint="eastAsia" w:eastAsia="仿宋_GB2312"/>
          <w:b/>
          <w:bCs/>
          <w:sz w:val="30"/>
          <w:szCs w:val="30"/>
          <w:lang w:val="en-US" w:eastAsia="zh-CN"/>
        </w:rPr>
      </w:pPr>
      <w:r>
        <w:rPr>
          <w:rFonts w:hint="eastAsia" w:eastAsia="仿宋_GB2312"/>
          <w:b/>
          <w:bCs/>
          <w:sz w:val="30"/>
          <w:szCs w:val="30"/>
          <w:lang w:val="en-US" w:eastAsia="zh-CN"/>
        </w:rPr>
        <w:t>https://github.com/Longoing/study/tree/Longoing-patch-1</w:t>
      </w:r>
    </w:p>
    <w:p>
      <w:pPr>
        <w:rPr>
          <w:rFonts w:hint="eastAsia" w:eastAsia="仿宋_GB2312"/>
          <w:b/>
          <w:bCs/>
          <w:sz w:val="30"/>
          <w:szCs w:val="30"/>
        </w:rPr>
      </w:pPr>
    </w:p>
    <w:p>
      <w:pPr>
        <w:rPr>
          <w:rFonts w:hint="eastAsia" w:eastAsia="仿宋_GB2312"/>
          <w:b/>
          <w:bCs/>
          <w:sz w:val="30"/>
          <w:szCs w:val="30"/>
        </w:rPr>
      </w:pPr>
    </w:p>
    <w:p>
      <w:pPr>
        <w:pStyle w:val="2"/>
        <w:bidi w:val="0"/>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要求：</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机房背景（XXX电视台新媒体机房），需要考虑数据存储安全性、稳定性和可用性。内容包括数据存储架构设计、磁盘规格选择、Raid存储阵列（文字说明使用哪种Raid及该基于什么原因）、任意一种数据存储技术（例如SAN）、数据备份方案。</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背景：</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YD电视台新媒体机房，占地面积300平方米，可容纳50个机柜架构和存储介质库，配备计算机设备,服务器，网络设备；基础环境：供电系统，制冷系统，机柜系统，机柜系统，消防系统，监控系统等物理设施。</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YD电视台业务广泛，需要存储的数据繁杂，需要考虑数据存储安全性、稳定性和可用性。运用现有知识，搭建数据存储中心，建立共享灾备中心。</w:t>
      </w:r>
    </w:p>
    <w:p>
      <w:pPr>
        <w:pStyle w:val="3"/>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SAN存储架构设计</w:t>
      </w:r>
    </w:p>
    <w:p>
      <w:p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开放系统的存储分为：内置存储和外挂存储</w:t>
      </w:r>
    </w:p>
    <w:p>
      <w:pPr>
        <w:bidi w:val="0"/>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外挂存储根据连接的方式分为：直连式存储（Direct-Attached Storage，简称DAS）和网络化存储（Fabric-Attached Storage，简称FAS）；网络化存储根据传输协议又分为：网络接入存储（Network-Attached Storage，简称NAS）和存储区域网络（Storage Area Network，简称SAN）</w:t>
      </w:r>
    </w:p>
    <w:p>
      <w:p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SAN提供了一种与现有LAN连接的简易方法，并且通过同一物理通道支持广泛使用的SCSI和IP协议。SAN不受现今主流的、基于SCSI存储结构的布局限制。特别重要的是，随着存储容量的爆炸性增长，SAN允许企业独立地增加它们的存储容量。SAN的结构允许任何服务器连接到任何存储阵列，这样不管数据置放在那里，服务器都可直接存取所需的数据。因为采用了光纤接口，SAN还具有更高的带宽。</w:t>
      </w:r>
    </w:p>
    <w:p>
      <w:pPr>
        <w:bidi w:val="0"/>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SAN真正的综合了DAS和NAS两种存储解决方案的优势</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利用SAN解决方案，你还可以实现存储的集中管理，从而能够充分利用那些处于空闲状态的空间。可以将服务器配置为没有内部存储空间的服务器，要求所有的系统都直接从SAN引导。这也是一种即插即用技术。</w:t>
      </w:r>
    </w:p>
    <w:p>
      <w:pPr>
        <w:bidi w:val="0"/>
        <w:ind w:firstLine="480" w:firstLineChars="200"/>
        <w:rPr>
          <w:rFonts w:hint="eastAsia" w:asciiTheme="minorEastAsia" w:hAnsiTheme="minorEastAsia" w:eastAsiaTheme="minorEastAsia" w:cstheme="minorEastAsia"/>
          <w:sz w:val="24"/>
          <w:szCs w:val="24"/>
          <w:lang w:val="en-US" w:eastAsia="zh-CN"/>
        </w:rPr>
      </w:pPr>
    </w:p>
    <w:p>
      <w:pPr>
        <w:bidi w:val="0"/>
        <w:ind w:firstLine="480" w:firstLineChars="200"/>
        <w:rPr>
          <w:rFonts w:hint="eastAsia" w:asciiTheme="minorEastAsia" w:hAnsiTheme="minorEastAsia" w:eastAsiaTheme="minorEastAsia" w:cstheme="minorEastAsia"/>
          <w:sz w:val="24"/>
          <w:szCs w:val="24"/>
          <w:lang w:val="en-US" w:eastAsia="zh-CN"/>
        </w:rPr>
      </w:pPr>
    </w:p>
    <w:p>
      <w:pPr>
        <w:bidi w:val="0"/>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存储区域网络（Storage Area Network，简称</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"https://baike.baidu.com/item/SAN" \t "https://baike.baidu.com/item/%E5%AD%98%E5%82%A8%E5%8C%BA%E5%9F%9F%E7%BD%91%E7%BB%9C/_blank"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SAN</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）采用网状通道（Fibre Channel ，简称</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"https://baike.baidu.com/item/FC" \t "https://baike.baidu.com/item/%E5%AD%98%E5%82%A8%E5%8C%BA%E5%9F%9F%E7%BD%91%E7%BB%9C/_blank"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FC</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，区别与Fiber Channel光纤通道）技术，通过FC交换机连接</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"https://baike.baidu.com/item/%E5%AD%98%E5%82%A8%E9%98%B5%E5%88%97/1496275" \t "https://baike.baidu.com/item/%E5%AD%98%E5%82%A8%E5%8C%BA%E5%9F%9F%E7%BD%91%E7%BB%9C/_blank"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存储阵列</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和服务器</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"https://baike.baidu.com/item/%E4%B8%BB%E6%9C%BA/455151" \t "https://baike.baidu.com/item/%E5%AD%98%E5%82%A8%E5%8C%BA%E5%9F%9F%E7%BD%91%E7%BB%9C/_blank"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主机</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，FC-SAN。建立专用于</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"https://baike.baidu.com/item/%E6%95%B0%E6%8D%AE%E5%AD%98%E5%82%A8/9827490" \t "https://baike.baidu.com/item/%E5%AD%98%E5%82%A8%E5%8C%BA%E5%9F%9F%E7%BD%91%E7%BB%9C/_blank"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数据存储</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的区域网络，一方面可以传输大块数据，另一方面可以实现远距离传输。</w:t>
      </w:r>
    </w:p>
    <w:p>
      <w:pPr>
        <w:bidi w:val="0"/>
        <w:ind w:firstLine="480" w:firstLineChars="200"/>
        <w:rPr>
          <w:rFonts w:hint="eastAsia" w:asciiTheme="minorEastAsia" w:hAnsiTheme="minorEastAsia" w:eastAsiaTheme="minorEastAsia" w:cstheme="minorEastAsia"/>
          <w:sz w:val="24"/>
          <w:szCs w:val="24"/>
          <w:lang w:val="en-US" w:eastAsia="zh-CN"/>
        </w:rPr>
      </w:pPr>
    </w:p>
    <w:p>
      <w:pPr>
        <w:bidi w:val="0"/>
        <w:ind w:firstLine="480" w:firstLineChars="200"/>
        <w:rPr>
          <w:rFonts w:hint="eastAsia" w:asciiTheme="minorEastAsia" w:hAnsiTheme="minorEastAsia" w:eastAsiaTheme="minorEastAsia" w:cstheme="minorEastAsia"/>
          <w:sz w:val="24"/>
          <w:szCs w:val="24"/>
          <w:lang w:val="en-US" w:eastAsia="zh-CN"/>
        </w:rPr>
      </w:pPr>
    </w:p>
    <w:p>
      <w:pPr>
        <w:pStyle w:val="4"/>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初步SAN存储设计</w:t>
      </w:r>
    </w:p>
    <w:p>
      <w:pPr>
        <w:bidi w:val="0"/>
        <w:ind w:firstLine="480" w:firstLineChars="200"/>
        <w:rPr>
          <w:rFonts w:hint="eastAsia" w:asciiTheme="minorEastAsia" w:hAnsiTheme="minorEastAsia" w:eastAsiaTheme="minorEastAsia" w:cstheme="minorEastAsia"/>
          <w:sz w:val="24"/>
          <w:szCs w:val="24"/>
          <w:lang w:val="en-US" w:eastAsia="zh-CN"/>
        </w:rPr>
      </w:pPr>
    </w:p>
    <w:p>
      <w:pPr>
        <w:bidi w:val="0"/>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在机房核心区部署核心导向器，SAN网络架构采用“核心-边缘结构”（core-edge）利用Firbre Channel protocol（光纤通道协议）通过FC交换机建立与服务器和存储设备的直接连接；SAN组网采用“双交换”连接，确保扩展性。FC采用双Fabric架构</w:t>
      </w:r>
    </w:p>
    <w:p>
      <w:pPr>
        <w:bidi w:val="0"/>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核心主机与存储系统间采用scsi协议</w:t>
      </w:r>
    </w:p>
    <w:p>
      <w:pPr>
        <w:bidi w:val="0"/>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优点：核心-边缘结构一般由一到两台核心交换机与多台接入交换机所组成，每台接入交换机，都与核心交换机进行互联，而服务器和存储设备则需要按照不同的性能、用途和重要性而接入不同的交换机。这种设计允许路径上不同级别服务器进行连接，很好的满足了不同应用的带宽需求，而且在成本、扩展性与性能</w:t>
      </w:r>
    </w:p>
    <w:p>
      <w:p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之间得到最大的平衡</w:t>
      </w:r>
      <w:r>
        <w:rPr>
          <w:rFonts w:hint="eastAsia" w:asciiTheme="minorEastAsia" w:hAnsiTheme="minorEastAsia" w:eastAsiaTheme="minorEastAsia" w:cstheme="minorEastAsia"/>
          <w:sz w:val="24"/>
          <w:szCs w:val="24"/>
          <w:lang w:val="en-US" w:eastAsia="zh-CN"/>
        </w:rPr>
        <w:t>。</w:t>
      </w:r>
    </w:p>
    <w:p>
      <w:pPr>
        <w:bidi w:val="0"/>
        <w:rPr>
          <w:rFonts w:hint="eastAsia" w:asciiTheme="minorEastAsia" w:hAnsiTheme="minorEastAsia" w:eastAsiaTheme="minorEastAsia" w:cstheme="minorEastAsia"/>
          <w:sz w:val="24"/>
          <w:szCs w:val="24"/>
        </w:rPr>
      </w:pPr>
    </w:p>
    <w:p>
      <w:p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5268595" cy="3061335"/>
            <wp:effectExtent l="0" t="0" r="4445" b="190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5"/>
                    <a:stretch>
                      <a:fillRect/>
                    </a:stretch>
                  </pic:blipFill>
                  <pic:spPr>
                    <a:xfrm>
                      <a:off x="0" y="0"/>
                      <a:ext cx="5268595" cy="3061335"/>
                    </a:xfrm>
                    <a:prstGeom prst="rect">
                      <a:avLst/>
                    </a:prstGeom>
                    <a:noFill/>
                    <a:ln>
                      <a:noFill/>
                    </a:ln>
                  </pic:spPr>
                </pic:pic>
              </a:graphicData>
            </a:graphic>
          </wp:inline>
        </w:drawing>
      </w:r>
    </w:p>
    <w:p>
      <w:pPr>
        <w:bidi w:val="0"/>
        <w:rPr>
          <w:rFonts w:hint="eastAsia" w:asciiTheme="minorEastAsia" w:hAnsiTheme="minorEastAsia" w:eastAsiaTheme="minorEastAsia" w:cstheme="minorEastAsia"/>
          <w:sz w:val="24"/>
          <w:szCs w:val="24"/>
          <w:lang w:val="en-US" w:eastAsia="zh-CN"/>
        </w:rPr>
      </w:pPr>
    </w:p>
    <w:p>
      <w:pPr>
        <w:pStyle w:val="4"/>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备份SAN存储设计</w:t>
      </w:r>
    </w:p>
    <w:p>
      <w:pPr>
        <w:rPr>
          <w:rFonts w:hint="eastAsia" w:asciiTheme="minorEastAsia" w:hAnsiTheme="minorEastAsia" w:eastAsiaTheme="minorEastAsia" w:cstheme="minorEastAsia"/>
          <w:sz w:val="24"/>
          <w:szCs w:val="24"/>
          <w:lang w:val="en-US" w:eastAsia="zh-CN"/>
        </w:rPr>
      </w:pPr>
    </w:p>
    <w:p>
      <w:p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在机房备份区搭建单独的SAN存储区域网络，建立单独的fabric，连接到备份的存储库</w:t>
      </w:r>
    </w:p>
    <w:p>
      <w:p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优点：独立的备份fabric，避免与直接存储数据的影响，保障了数据备份的正确，安全性</w:t>
      </w:r>
    </w:p>
    <w:p>
      <w:pPr>
        <w:bidi w:val="0"/>
        <w:rPr>
          <w:rFonts w:hint="eastAsia" w:asciiTheme="minorEastAsia" w:hAnsiTheme="minorEastAsia" w:eastAsiaTheme="minorEastAsia" w:cstheme="minorEastAsia"/>
          <w:sz w:val="24"/>
          <w:szCs w:val="24"/>
          <w:lang w:val="en-US" w:eastAsia="zh-CN"/>
        </w:rPr>
      </w:pPr>
    </w:p>
    <w:p>
      <w:p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5271135" cy="3639820"/>
            <wp:effectExtent l="0" t="0" r="1905" b="25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5271135" cy="3639820"/>
                    </a:xfrm>
                    <a:prstGeom prst="rect">
                      <a:avLst/>
                    </a:prstGeom>
                    <a:noFill/>
                    <a:ln>
                      <a:noFill/>
                    </a:ln>
                  </pic:spPr>
                </pic:pic>
              </a:graphicData>
            </a:graphic>
          </wp:inline>
        </w:drawing>
      </w:r>
    </w:p>
    <w:p>
      <w:pPr>
        <w:pStyle w:val="4"/>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机房不同区域资源共享设计</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在机房内的不同区域内需要部署资源共享，在不同区域间通过FC Router建立连接，联通fabric，使区域的主机和存储设备进行访问，实现资源共享</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5274310" cy="4067175"/>
            <wp:effectExtent l="0" t="0" r="13970" b="190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5274310" cy="4067175"/>
                    </a:xfrm>
                    <a:prstGeom prst="rect">
                      <a:avLst/>
                    </a:prstGeom>
                    <a:noFill/>
                    <a:ln>
                      <a:noFill/>
                    </a:ln>
                  </pic:spPr>
                </pic:pic>
              </a:graphicData>
            </a:graphic>
          </wp:inline>
        </w:drawing>
      </w:r>
    </w:p>
    <w:p>
      <w:pPr>
        <w:pStyle w:val="4"/>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数据灾备规划设计</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（1）本地机房内采用“虚拟云桌面备份”的方式。对虚拟化桌面平台进行虚拟桌面备份。通过虚拟缓存技术，提升整体访问性能通过虚拟存储之间的复制技术，并且通过虚拟存储之间的复制技术实现远程灾备；</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使用虚拟桌面创建数据，数据类型不一，个人操作习惯，时间，文件类型不同。每日查看目录，进行数据备份。</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5271770" cy="2757805"/>
            <wp:effectExtent l="0" t="0" r="1270" b="63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stretch>
                      <a:fillRect/>
                    </a:stretch>
                  </pic:blipFill>
                  <pic:spPr>
                    <a:xfrm>
                      <a:off x="0" y="0"/>
                      <a:ext cx="5271770" cy="2757805"/>
                    </a:xfrm>
                    <a:prstGeom prst="rect">
                      <a:avLst/>
                    </a:prstGeom>
                    <a:noFill/>
                    <a:ln>
                      <a:noFill/>
                    </a:ln>
                  </pic:spPr>
                </pic:pic>
              </a:graphicData>
            </a:graphic>
          </wp:inline>
        </w:drawing>
      </w:r>
    </w:p>
    <w:p>
      <w:pPr>
        <w:rPr>
          <w:rFonts w:hint="eastAsia" w:asciiTheme="minorEastAsia" w:hAnsiTheme="minorEastAsia" w:eastAsiaTheme="minorEastAsia" w:cstheme="minorEastAsia"/>
          <w:sz w:val="24"/>
          <w:szCs w:val="24"/>
          <w:lang w:val="en-US" w:eastAsia="zh-CN"/>
        </w:rPr>
      </w:pPr>
    </w:p>
    <w:p>
      <w:pPr>
        <w:numPr>
          <w:ilvl w:val="0"/>
          <w:numId w:val="1"/>
        </w:numPr>
        <w:ind w:firstLine="720" w:firstLineChars="3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本地灾备中心建设，在本地另一机房建立灾备机房，将服务器实时接管到灾备中心做到数据的实时复制</w:t>
      </w:r>
      <w:r>
        <w:rPr>
          <w:rFonts w:hint="eastAsia" w:asciiTheme="minorEastAsia" w:hAnsiTheme="minorEastAsia" w:eastAsiaTheme="minorEastAsia" w:cstheme="minorEastAsia"/>
          <w:sz w:val="24"/>
          <w:szCs w:val="24"/>
        </w:rPr>
        <w:drawing>
          <wp:inline distT="0" distB="0" distL="114300" distR="114300">
            <wp:extent cx="5570855" cy="2750185"/>
            <wp:effectExtent l="0" t="0" r="6985" b="825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9"/>
                    <a:stretch>
                      <a:fillRect/>
                    </a:stretch>
                  </pic:blipFill>
                  <pic:spPr>
                    <a:xfrm>
                      <a:off x="0" y="0"/>
                      <a:ext cx="5570855" cy="2750185"/>
                    </a:xfrm>
                    <a:prstGeom prst="rect">
                      <a:avLst/>
                    </a:prstGeom>
                    <a:noFill/>
                    <a:ln>
                      <a:noFill/>
                    </a:ln>
                  </pic:spPr>
                </pic:pic>
              </a:graphicData>
            </a:graphic>
          </wp:inline>
        </w:drawing>
      </w:r>
    </w:p>
    <w:p>
      <w:pPr>
        <w:numPr>
          <w:ilvl w:val="0"/>
          <w:numId w:val="1"/>
        </w:numPr>
        <w:ind w:firstLine="720" w:firstLineChars="3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搭建两地三中心灾备，为排除不可抗力因素，导致本地机房无法使用，需要在异地建立灾备中心</w:t>
      </w:r>
    </w:p>
    <w:p>
      <w:pPr>
        <w:numPr>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在本地灾备中心的基础上，在异地建立灾备中心，通过路由通信实现数据同步</w:t>
      </w:r>
    </w:p>
    <w:p>
      <w:pPr>
        <w:numPr>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优点：两地三中心架构是灾备中心和双活动中心的结合体，机油冗余系统架构，也有异地灾备效果</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drawing>
          <wp:inline distT="0" distB="0" distL="114300" distR="114300">
            <wp:extent cx="5271135" cy="3270250"/>
            <wp:effectExtent l="0" t="0" r="1905" b="635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5271135" cy="3270250"/>
                    </a:xfrm>
                    <a:prstGeom prst="rect">
                      <a:avLst/>
                    </a:prstGeom>
                    <a:noFill/>
                    <a:ln>
                      <a:noFill/>
                    </a:ln>
                  </pic:spPr>
                </pic:pic>
              </a:graphicData>
            </a:graphic>
          </wp:inline>
        </w:drawing>
      </w:r>
    </w:p>
    <w:p>
      <w:pPr>
        <w:pStyle w:val="4"/>
        <w:bidi w:val="0"/>
        <w:rPr>
          <w:rFonts w:hint="eastAsia" w:asciiTheme="minorEastAsia" w:hAnsiTheme="minorEastAsia" w:eastAsiaTheme="minorEastAsia" w:cstheme="minorEastAsia"/>
          <w:sz w:val="24"/>
          <w:szCs w:val="24"/>
          <w:lang w:val="en-US" w:eastAsia="zh-CN"/>
        </w:rPr>
      </w:pPr>
    </w:p>
    <w:p>
      <w:pPr>
        <w:pStyle w:val="4"/>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Raid存储阵列设计</w:t>
      </w:r>
    </w:p>
    <w:p>
      <w:pPr>
        <w:rPr>
          <w:rFonts w:hint="eastAsia" w:asciiTheme="minorEastAsia" w:hAnsiTheme="minorEastAsia" w:eastAsiaTheme="minorEastAsia" w:cstheme="minorEastAsia"/>
          <w:sz w:val="24"/>
          <w:szCs w:val="24"/>
          <w:lang w:val="en-US" w:eastAsia="zh-CN"/>
        </w:rPr>
      </w:pP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Raid存储阵列选择raid5等级，RAID 5 是一种存储性能、</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"https://baike.baidu.com/item/%E6%95%B0%E6%8D%AE%E5%AE%89%E5%85%A8/3204964" \t "https://baike.baidu.com/item/_blank"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数据安全</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和存储成本兼顾的存储解决方案。 RAID 5可以理解为是RAID 0和RAID 1的折中方案。RAID 5可以为系统提供</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"https://baike.baidu.com/item/%E6%95%B0%E6%8D%AE%E5%AE%89%E5%85%A8/3204964" \t "https://baike.baidu.com/item/_blank"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数据安全</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保障，但保障程度要比Mirror低而磁盘空间利用率要比Mirror高，，RAID 5的磁盘空间利用率要比</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"https://baike.baidu.com/item/RAID 1" \t "https://baike.baidu.com/item/_blank"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RAID 1</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高，存储成本相对较低，是目前运用较多的一种解决方案。</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2857500" cy="211455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1"/>
                    <a:stretch>
                      <a:fillRect/>
                    </a:stretch>
                  </pic:blipFill>
                  <pic:spPr>
                    <a:xfrm>
                      <a:off x="0" y="0"/>
                      <a:ext cx="2857500" cy="2114550"/>
                    </a:xfrm>
                    <a:prstGeom prst="rect">
                      <a:avLst/>
                    </a:prstGeom>
                    <a:noFill/>
                    <a:ln w="9525">
                      <a:noFill/>
                    </a:ln>
                  </pic:spPr>
                </pic:pic>
              </a:graphicData>
            </a:graphic>
          </wp:inline>
        </w:drawing>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Raid5把数据和相对应的</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"https://www.baidu.com/s?wd=%E5%A5%87%E5%81%B6%E6%A0%A1%E9%AA%8C&amp;tn=SE_PcZhidaonwhc_ngpagmjz&amp;rsv_dl=gh_pc_zhidao" \t "https://zhidao.baidu.com/question/_blank"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奇偶校验</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信息存储到组成RAID5的各个磁盘上，并且奇偶校验信息和相对应的数据分别存储于不同的磁盘上。当RAID5的一个磁盘数据发生损坏后，利用剩下的数据和相应的奇偶校验信息去恢复被损坏的数据</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优点：容错性：奇偶校验冗余类型，读性能高，可用容量：（n-1）*n的总磁盘容量（n为磁盘数）</w:t>
      </w:r>
    </w:p>
    <w:p>
      <w:pPr>
        <w:ind w:firstLine="480" w:firstLineChars="200"/>
        <w:rPr>
          <w:rFonts w:hint="eastAsia" w:asciiTheme="minorEastAsia" w:hAnsiTheme="minorEastAsia" w:eastAsiaTheme="minorEastAsia" w:cstheme="minorEastAsia"/>
          <w:sz w:val="24"/>
          <w:szCs w:val="24"/>
          <w:lang w:val="en-US" w:eastAsia="zh-CN"/>
        </w:rPr>
      </w:pP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磁盘规格</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73675" cy="4657090"/>
            <wp:effectExtent l="0" t="0" r="14605" b="635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5273675" cy="4657090"/>
                    </a:xfrm>
                    <a:prstGeom prst="rect">
                      <a:avLst/>
                    </a:prstGeom>
                    <a:noFill/>
                    <a:ln>
                      <a:noFill/>
                    </a:ln>
                  </pic:spPr>
                </pic:pic>
              </a:graphicData>
            </a:graphic>
          </wp:inline>
        </w:drawing>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4587240" cy="4823460"/>
            <wp:effectExtent l="0" t="0" r="0" b="762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3"/>
                    <a:stretch>
                      <a:fillRect/>
                    </a:stretch>
                  </pic:blipFill>
                  <pic:spPr>
                    <a:xfrm>
                      <a:off x="0" y="0"/>
                      <a:ext cx="4587240" cy="4823460"/>
                    </a:xfrm>
                    <a:prstGeom prst="rect">
                      <a:avLst/>
                    </a:prstGeom>
                    <a:noFill/>
                    <a:ln>
                      <a:noFill/>
                    </a:ln>
                  </pic:spPr>
                </pic:pic>
              </a:graphicData>
            </a:graphic>
          </wp:inline>
        </w:drawing>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"https://www.baidu.com/s?wd=SAS%E6%8E%A5%E5%8F%A3&amp;tn=SE_PcZhidaonwhc_ngpagmjz&amp;rsv_dl=gh_pc_zhidao" \t "https://zhidao.baidu.com/question/_blank"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SAS接口</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将延续</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"https://www.baidu.com/s?wd=SCSI%E7%A1%AC%E7%9B%98&amp;tn=SE_PcZhidaonwhc_ngpagmjz&amp;rsv_dl=gh_pc_zhidao" \t "https://zhidao.baidu.com/question/_blank"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SCSI硬盘</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上诸如命令排序之类的功能，这个功能让</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"https://www.baidu.com/s?wd=%E7%A1%AC%E7%9B%98%E6%8E%A7%E5%88%B6%E5%99%A8&amp;tn=SE_PcZhidaonwhc_ngpagmjz&amp;rsv_dl=gh_pc_zhidao" \t "https://zhidao.baidu.com/question/_blank"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硬盘控制器</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能够按照最有效率的顺序执行命令，从而提高性能。而相同的功能若要在</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"https://www.baidu.com/s?wd=SATA%E7%A1%AC%E7%9B%98&amp;tn=SE_PcZhidaonwhc_ngpagmjz&amp;rsv_dl=gh_pc_zhidao" \t "https://zhidao.baidu.com/question/_blank"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SATA硬盘</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中实现的话，在很大程度上将依赖于处理器的计算</w:t>
      </w:r>
      <w:r>
        <w:rPr>
          <w:rFonts w:hint="eastAsia" w:asciiTheme="minorEastAsia" w:hAnsiTheme="minorEastAsia" w:eastAsiaTheme="minorEastAsia" w:cstheme="minorEastAsia"/>
          <w:sz w:val="24"/>
          <w:szCs w:val="24"/>
          <w:lang w:val="en-US" w:eastAsia="zh-CN"/>
        </w:rPr>
        <w:t>。SAS是一个完全的双向系统，而SATA则继承了IDE的特性，是半双向通信的系统。因此SAS的数据吞吐量可以是SATA系统的两倍，它采用串行技术实现更高的传输速度，缩短连接线。</w:t>
      </w:r>
    </w:p>
    <w:p>
      <w:pPr>
        <w:ind w:firstLine="480" w:firstLineChars="200"/>
        <w:rPr>
          <w:rFonts w:hint="eastAsia" w:asciiTheme="minorEastAsia" w:hAnsiTheme="minorEastAsia" w:eastAsiaTheme="minorEastAsia" w:cstheme="minorEastAsia"/>
          <w:sz w:val="24"/>
          <w:szCs w:val="24"/>
          <w:lang w:val="en-US" w:eastAsia="zh-CN"/>
        </w:rPr>
      </w:pPr>
    </w:p>
    <w:p>
      <w:pPr>
        <w:pStyle w:val="4"/>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存储架构规划设计</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主机房部署物理磁盘阵列，物理存储的上层通过虚拟存储设备，建立虚拟存储池。物理主机，虚拟主机通过IP-SAN网络和FC-SAN网络访问虚拟存储池中的虚拟存储卷。通过存储虚拟化整合，可以提升数据的安全性，虚拟化技术具备众多的存储服务功能，能够通过多种手段提升存储数据的可恢复性和存储设备故障的可恢复性</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68595" cy="4198620"/>
            <wp:effectExtent l="0" t="0" r="4445" b="762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4"/>
                    <a:stretch>
                      <a:fillRect/>
                    </a:stretch>
                  </pic:blipFill>
                  <pic:spPr>
                    <a:xfrm>
                      <a:off x="0" y="0"/>
                      <a:ext cx="5268595" cy="4198620"/>
                    </a:xfrm>
                    <a:prstGeom prst="rect">
                      <a:avLst/>
                    </a:prstGeom>
                    <a:noFill/>
                    <a:ln>
                      <a:noFill/>
                    </a:ln>
                  </pic:spPr>
                </pic:pic>
              </a:graphicData>
            </a:graphic>
          </wp:inline>
        </w:drawing>
      </w:r>
    </w:p>
    <w:p>
      <w:pPr>
        <w:rPr>
          <w:rFonts w:hint="eastAsia" w:asciiTheme="minorEastAsia" w:hAnsiTheme="minorEastAsia" w:eastAsiaTheme="minorEastAsia" w:cstheme="minorEastAsia"/>
          <w:sz w:val="24"/>
          <w:szCs w:val="24"/>
          <w:lang w:val="en-US" w:eastAsia="zh-CN"/>
        </w:rPr>
      </w:pPr>
    </w:p>
    <w:p>
      <w:pPr>
        <w:pStyle w:val="4"/>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数据库规划</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HBase分布式数据库，HBase – Hadoop Database，是一个高</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"https://baike.baidu.com/item/%E5%8F%AF%E9%9D%A0" \t "https://baike.baidu.com/item/HBase/_blank"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可靠</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性、高性能、面向列、可伸缩的</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"https://baike.baidu.com/item/%E5%88%86%E5%B8%83%E5%BC%8F%E5%AD%98%E5%82%A8%E7%B3%BB%E7%BB%9F" \t "https://baike.baidu.com/item/HBase/_blank"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分布式存储系统</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，利用HBase技术可在廉价PC Server上搭建起大规模</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"https://baike.baidu.com/item/%E7%BB%93%E6%9E%84" \t "https://baike.baidu.com/item/HBase/_blank"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结构</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化</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"https://baike.baidu.com/item/%E5%AD%98%E5%82%A8" \t "https://baike.baidu.com/item/HBase/_blank"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存储</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集群。</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DDBMS分布式数据库管理系统</w:t>
      </w:r>
    </w:p>
    <w:p>
      <w:pPr>
        <w:pStyle w:val="4"/>
        <w:bidi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3752850" cy="2705100"/>
            <wp:effectExtent l="0" t="0" r="11430" b="7620"/>
            <wp:docPr id="14"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IMG_256"/>
                    <pic:cNvPicPr>
                      <a:picLocks noChangeAspect="1"/>
                    </pic:cNvPicPr>
                  </pic:nvPicPr>
                  <pic:blipFill>
                    <a:blip r:embed="rId15"/>
                    <a:stretch>
                      <a:fillRect/>
                    </a:stretch>
                  </pic:blipFill>
                  <pic:spPr>
                    <a:xfrm>
                      <a:off x="0" y="0"/>
                      <a:ext cx="3752850" cy="2705100"/>
                    </a:xfrm>
                    <a:prstGeom prst="rect">
                      <a:avLst/>
                    </a:prstGeom>
                    <a:noFill/>
                    <a:ln w="9525">
                      <a:noFill/>
                    </a:ln>
                  </pic:spPr>
                </pic:pic>
              </a:graphicData>
            </a:graphic>
          </wp:inline>
        </w:drawing>
      </w:r>
    </w:p>
    <w:p>
      <w:pPr>
        <w:pStyle w:val="4"/>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心得体会</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经过本课程学习，学习到很多数据安全方面的知识，raid存储阵列，数据存储技术，数据备份方案，体验了一次靶机数据窃取渗透的过程，动手进行信息收集，漏洞分析，sql注入练习等；大作业选择做了数据机房的设计方案，自己参考资料设计SAN“核心-边缘”数据存储架构，加入综合数据灾备方案，用到了书本的“虚拟云桌面备份”和“两地三中心”和本地灾备中心等知识，还有许多不懂得知识通过学习博客的资源得以掌握。总的来说，本次大作业所用的知识还是比较多，数据机房设计或多或少存在一定的缺陷，在之后的学习过程中要进行完善。最后，感谢老师的教导。</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参考文献：《数据安全与灾备管理》清华大学出版社</w:t>
      </w:r>
    </w:p>
    <w:p>
      <w:p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参考文章：</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"https://blog.csdn.net/shipeng1022/article/details/72862367" </w:instrText>
      </w:r>
      <w:r>
        <w:rPr>
          <w:rFonts w:hint="eastAsia" w:asciiTheme="minorEastAsia" w:hAnsiTheme="minorEastAsia" w:eastAsiaTheme="minorEastAsia" w:cstheme="minorEastAsia"/>
          <w:sz w:val="24"/>
          <w:szCs w:val="24"/>
          <w:lang w:val="en-US" w:eastAsia="zh-CN"/>
        </w:rPr>
        <w:fldChar w:fldCharType="separate"/>
      </w:r>
      <w:r>
        <w:rPr>
          <w:rStyle w:val="7"/>
          <w:rFonts w:hint="eastAsia" w:asciiTheme="minorEastAsia" w:hAnsiTheme="minorEastAsia" w:eastAsiaTheme="minorEastAsia" w:cstheme="minorEastAsia"/>
          <w:sz w:val="24"/>
          <w:szCs w:val="24"/>
          <w:lang w:val="en-US" w:eastAsia="zh-CN"/>
        </w:rPr>
        <w:t>https://blog.csdn.net/shipeng1022/article/details/72862367</w:t>
      </w:r>
      <w:r>
        <w:rPr>
          <w:rFonts w:hint="eastAsia" w:asciiTheme="minorEastAsia" w:hAnsiTheme="minorEastAsia" w:eastAsiaTheme="minorEastAsia" w:cstheme="minorEastAsia"/>
          <w:sz w:val="24"/>
          <w:szCs w:val="24"/>
          <w:lang w:val="en-US" w:eastAsia="zh-CN"/>
        </w:rPr>
        <w:fldChar w:fldCharType="end"/>
      </w:r>
    </w:p>
    <w:p>
      <w:pPr>
        <w:bidi w:val="0"/>
        <w:ind w:firstLine="1200" w:firstLineChars="5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https://www.docin.com/p-638138218.html</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E00D6F"/>
    <w:multiLevelType w:val="singleLevel"/>
    <w:tmpl w:val="7AE00D6F"/>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AA558F"/>
    <w:rsid w:val="14876D6E"/>
    <w:rsid w:val="15CB7024"/>
    <w:rsid w:val="2F223A80"/>
    <w:rsid w:val="3A782A68"/>
    <w:rsid w:val="4AAA558F"/>
    <w:rsid w:val="4DB255D2"/>
    <w:rsid w:val="7B792B11"/>
    <w:rsid w:val="7EA84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2019-07-04T02:43:00Z</dcterms:created>
  <dc:creator>布卡布卡龙</dc:creator>
  <cp:lastModifiedBy>布卡布卡龙</cp:lastModifiedBy>
  <dcterms:modified xsi:type="dcterms:W3CDTF">2019-07-04T11:49:42Z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