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Hospital Patient Referral Treatment and Administration System</w:t>
      </w:r>
    </w:p>
    <w:p>
      <w:pPr>
        <w:jc w:val="center"/>
      </w:pPr>
      <w:r>
        <w:rPr>
          <w:b/>
          <w:sz w:val="22"/>
        </w:rPr>
        <w:t>Business Process Modelling Coursework Response</w:t>
      </w:r>
    </w:p>
    <w:p>
      <w:r>
        <w:t>This response analyses the supplied Hospital Patient Referral, Treatment and Administration System case study. It separates clinical, administrative and financial authority, and records areas where the case requires further stakeholder confirmation.</w:t>
      </w:r>
    </w:p>
    <w:p>
      <w:pPr>
        <w:pStyle w:val="Heading1"/>
      </w:pPr>
      <w:r>
        <w:t>1. Business Process and Business Process Management</w:t>
      </w:r>
    </w:p>
    <w:p>
      <w:pPr>
        <w:pStyle w:val="Heading2"/>
      </w:pPr>
      <w:r>
        <w:t>1.1 Business Process</w:t>
      </w:r>
    </w:p>
    <w:p>
      <w:r>
        <w:t>A business process is a structured set of related activities performed by people, systems and external parties to transform inputs into an outcome that creates value for a customer, patient or organisation. In this case, referral review transforms a referral and supporting clinical documents into an authorised clinical decision and, if accepted, an appointment request.</w:t>
      </w:r>
    </w:p>
    <w:p>
      <w:r>
        <w:t>Business processes are organisationally significant because they make responsibilities, hand-offs, controls and performance visible. They help an organisation coordinate work across teams, reduce delays and errors, protect accountability, and measure whether outcomes are achieved. For this hospital, well-defined processes are especially important because patient safety, confidential information, clinical judgement and payment activities must be coordinated without confusing their authority boundaries.</w:t>
      </w:r>
    </w:p>
    <w:p>
      <w:pPr>
        <w:pStyle w:val="Heading2"/>
      </w:pPr>
      <w:r>
        <w:t>1.2 Business Process Management</w:t>
      </w:r>
    </w:p>
    <w:p>
      <w:r>
        <w:t>Business Process Management (BPM) is the systematic approach used to identify, understand, improve, implement and monitor business processes so that they meet organisational and stakeholder needs. BPM combines people, procedures, information and technology rather than treating a process as only an IT workflow.</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4320"/>
            <w:vAlign w:val="center"/>
            <w:shd w:fill="1F4E78"/>
          </w:tcPr>
          <w:p>
            <w:pPr>
              <w:spacing w:after="0"/>
            </w:pPr>
            <w:r/>
            <w:r>
              <w:rPr>
                <w:rFonts w:ascii="Arial" w:hAnsi="Arial"/>
                <w:b/>
                <w:color w:val="FFFFFF"/>
                <w:sz w:val="16"/>
              </w:rPr>
              <w:t>BPM lifecycle phase</w:t>
            </w:r>
          </w:p>
        </w:tc>
        <w:tc>
          <w:tcPr>
            <w:tcW w:type="dxa" w:w="10800"/>
            <w:vAlign w:val="center"/>
            <w:shd w:fill="1F4E78"/>
          </w:tcPr>
          <w:p>
            <w:pPr>
              <w:spacing w:after="0"/>
            </w:pPr>
            <w:r/>
            <w:r>
              <w:rPr>
                <w:rFonts w:ascii="Arial" w:hAnsi="Arial"/>
                <w:b/>
                <w:color w:val="FFFFFF"/>
                <w:sz w:val="16"/>
              </w:rPr>
              <w:t>Brief description</w:t>
            </w:r>
          </w:p>
        </w:tc>
      </w:tr>
      <w:tr>
        <w:trPr>
          <w:cantSplit/>
        </w:trPr>
        <w:tc>
          <w:tcPr>
            <w:tcW w:type="dxa" w:w="4320"/>
            <w:vAlign w:val="center"/>
          </w:tcPr>
          <w:p>
            <w:pPr>
              <w:spacing w:after="0"/>
            </w:pPr>
            <w:r/>
            <w:r>
              <w:rPr>
                <w:rFonts w:ascii="Arial" w:hAnsi="Arial"/>
                <w:b w:val="0"/>
                <w:sz w:val="16"/>
              </w:rPr>
              <w:t>Process Identification</w:t>
            </w:r>
          </w:p>
        </w:tc>
        <w:tc>
          <w:tcPr>
            <w:tcW w:type="dxa" w:w="10800"/>
            <w:vAlign w:val="center"/>
          </w:tcPr>
          <w:p>
            <w:pPr>
              <w:spacing w:after="0"/>
            </w:pPr>
            <w:r/>
            <w:r>
              <w:rPr>
                <w:rFonts w:ascii="Arial" w:hAnsi="Arial"/>
                <w:b w:val="0"/>
                <w:sz w:val="16"/>
              </w:rPr>
              <w:t>Select and prioritise the processes that matter most to organisational objectives, risks and stakeholders. For the hospital, examples include referral review, treatment booking, payment exception handling and clinic-letter management.</w:t>
            </w:r>
          </w:p>
        </w:tc>
      </w:tr>
      <w:tr>
        <w:trPr>
          <w:cantSplit/>
        </w:trPr>
        <w:tc>
          <w:tcPr>
            <w:tcW w:type="dxa" w:w="4320"/>
            <w:vAlign w:val="center"/>
          </w:tcPr>
          <w:p>
            <w:pPr>
              <w:spacing w:after="0"/>
            </w:pPr>
            <w:r/>
            <w:r>
              <w:rPr>
                <w:rFonts w:ascii="Arial" w:hAnsi="Arial"/>
                <w:b w:val="0"/>
                <w:sz w:val="16"/>
              </w:rPr>
              <w:t>Process Discovery</w:t>
            </w:r>
          </w:p>
        </w:tc>
        <w:tc>
          <w:tcPr>
            <w:tcW w:type="dxa" w:w="10800"/>
            <w:vAlign w:val="center"/>
          </w:tcPr>
          <w:p>
            <w:pPr>
              <w:spacing w:after="0"/>
            </w:pPr>
            <w:r/>
            <w:r>
              <w:rPr>
                <w:rFonts w:ascii="Arial" w:hAnsi="Arial"/>
                <w:b w:val="0"/>
                <w:sz w:val="16"/>
              </w:rPr>
              <w:t>Document how work is currently performed, including activities, participants, decisions, information, systems, exceptions and hand-offs. Interviews, documents and process models can be used to discover the current process.</w:t>
            </w:r>
          </w:p>
        </w:tc>
      </w:tr>
      <w:tr>
        <w:trPr>
          <w:cantSplit/>
        </w:trPr>
        <w:tc>
          <w:tcPr>
            <w:tcW w:type="dxa" w:w="4320"/>
            <w:vAlign w:val="center"/>
          </w:tcPr>
          <w:p>
            <w:pPr>
              <w:spacing w:after="0"/>
            </w:pPr>
            <w:r/>
            <w:r>
              <w:rPr>
                <w:rFonts w:ascii="Arial" w:hAnsi="Arial"/>
                <w:b w:val="0"/>
                <w:sz w:val="16"/>
              </w:rPr>
              <w:t>Process Analysis</w:t>
            </w:r>
          </w:p>
        </w:tc>
        <w:tc>
          <w:tcPr>
            <w:tcW w:type="dxa" w:w="10800"/>
            <w:vAlign w:val="center"/>
          </w:tcPr>
          <w:p>
            <w:pPr>
              <w:spacing w:after="0"/>
            </w:pPr>
            <w:r/>
            <w:r>
              <w:rPr>
                <w:rFonts w:ascii="Arial" w:hAnsi="Arial"/>
                <w:b w:val="0"/>
                <w:sz w:val="16"/>
              </w:rPr>
              <w:t>Examine the discovered process to identify delays, bottlenecks, duplicate work, control gaps, risks, unmet stakeholder needs and unnecessary variation. The current mixture of emails, calls and manual records creates analysis topics such as incomplete audit trails and poor visibility of delays.</w:t>
            </w:r>
          </w:p>
        </w:tc>
      </w:tr>
      <w:tr>
        <w:trPr>
          <w:cantSplit/>
        </w:trPr>
        <w:tc>
          <w:tcPr>
            <w:tcW w:type="dxa" w:w="4320"/>
            <w:vAlign w:val="center"/>
          </w:tcPr>
          <w:p>
            <w:pPr>
              <w:spacing w:after="0"/>
            </w:pPr>
            <w:r/>
            <w:r>
              <w:rPr>
                <w:rFonts w:ascii="Arial" w:hAnsi="Arial"/>
                <w:b w:val="0"/>
                <w:sz w:val="16"/>
              </w:rPr>
              <w:t>Process Redesign</w:t>
            </w:r>
          </w:p>
        </w:tc>
        <w:tc>
          <w:tcPr>
            <w:tcW w:type="dxa" w:w="10800"/>
            <w:vAlign w:val="center"/>
          </w:tcPr>
          <w:p>
            <w:pPr>
              <w:spacing w:after="0"/>
            </w:pPr>
            <w:r/>
            <w:r>
              <w:rPr>
                <w:rFonts w:ascii="Arial" w:hAnsi="Arial"/>
                <w:b w:val="0"/>
                <w:sz w:val="16"/>
              </w:rPr>
              <w:t>Develop an improved future process that removes or controls identified problems while preserving necessary authority and compliance requirements. The proposed patient administration system can introduce structured authorisations, records, queues and external-service integration.</w:t>
            </w:r>
          </w:p>
        </w:tc>
      </w:tr>
      <w:tr>
        <w:trPr>
          <w:cantSplit/>
        </w:trPr>
        <w:tc>
          <w:tcPr>
            <w:tcW w:type="dxa" w:w="4320"/>
            <w:vAlign w:val="center"/>
          </w:tcPr>
          <w:p>
            <w:pPr>
              <w:spacing w:after="0"/>
            </w:pPr>
            <w:r/>
            <w:r>
              <w:rPr>
                <w:rFonts w:ascii="Arial" w:hAnsi="Arial"/>
                <w:b w:val="0"/>
                <w:sz w:val="16"/>
              </w:rPr>
              <w:t>Process Monitoring</w:t>
            </w:r>
          </w:p>
        </w:tc>
        <w:tc>
          <w:tcPr>
            <w:tcW w:type="dxa" w:w="10800"/>
            <w:vAlign w:val="center"/>
          </w:tcPr>
          <w:p>
            <w:pPr>
              <w:spacing w:after="0"/>
            </w:pPr>
            <w:r/>
            <w:r>
              <w:rPr>
                <w:rFonts w:ascii="Arial" w:hAnsi="Arial"/>
                <w:b w:val="0"/>
                <w:sz w:val="16"/>
              </w:rPr>
              <w:t>Measure ongoing performance and compliance using defined indicators, reports and audit records. The case identifies measures such as referral volumes, appointment waiting times, delayed clinic letters, unresolved enquiries, funding delays and payment exceptions.</w:t>
            </w:r>
          </w:p>
        </w:tc>
      </w:tr>
    </w:tbl>
    <w:p/>
    <w:p>
      <w:pPr>
        <w:pStyle w:val="Heading1"/>
      </w:pPr>
      <w:r>
        <w:t>2. All Stakeholders</w:t>
      </w:r>
    </w:p>
    <w:p>
      <w:r>
        <w:t>The following stakeholders are named in the case study or are directly implied by a stated interaction. The category describes the principal role in the process; some stakeholders participate in more than one category.</w:t>
      </w:r>
    </w:p>
    <w:tbl>
      <w:tblPr>
        <w:tblStyle w:val="TableGrid"/>
        <w:tblW w:type="auto" w:w="0"/>
        <w:jc w:val="center"/>
        <w:tblLayout w:type="fixed"/>
        <w:tblLook w:firstColumn="1" w:firstRow="1" w:lastColumn="0" w:lastRow="0" w:noHBand="0" w:noVBand="1" w:val="04A0"/>
      </w:tblPr>
      <w:tblGrid>
        <w:gridCol w:w="3050"/>
        <w:gridCol w:w="3050"/>
        <w:gridCol w:w="3050"/>
        <w:gridCol w:w="3050"/>
        <w:gridCol w:w="3050"/>
      </w:tblGrid>
      <w:tr>
        <w:trPr>
          <w:tblHeader w:val="true"/>
        </w:trPr>
        <w:tc>
          <w:tcPr>
            <w:tcW w:type="dxa" w:w="2448"/>
            <w:vAlign w:val="center"/>
            <w:shd w:fill="1F4E78"/>
          </w:tcPr>
          <w:p>
            <w:pPr>
              <w:spacing w:after="0"/>
            </w:pPr>
            <w:r/>
            <w:r>
              <w:rPr>
                <w:rFonts w:ascii="Arial" w:hAnsi="Arial"/>
                <w:b/>
                <w:color w:val="FFFFFF"/>
                <w:sz w:val="16"/>
              </w:rPr>
              <w:t>Stakeholder / role</w:t>
            </w:r>
          </w:p>
        </w:tc>
        <w:tc>
          <w:tcPr>
            <w:tcW w:type="dxa" w:w="2880"/>
            <w:vAlign w:val="center"/>
            <w:shd w:fill="1F4E78"/>
          </w:tcPr>
          <w:p>
            <w:pPr>
              <w:spacing w:after="0"/>
            </w:pPr>
            <w:r/>
            <w:r>
              <w:rPr>
                <w:rFonts w:ascii="Arial" w:hAnsi="Arial"/>
                <w:b/>
                <w:color w:val="FFFFFF"/>
                <w:sz w:val="16"/>
              </w:rPr>
              <w:t>Main goals or interests</w:t>
            </w:r>
          </w:p>
        </w:tc>
        <w:tc>
          <w:tcPr>
            <w:tcW w:type="dxa" w:w="3240"/>
            <w:vAlign w:val="center"/>
            <w:shd w:fill="1F4E78"/>
          </w:tcPr>
          <w:p>
            <w:pPr>
              <w:spacing w:after="0"/>
            </w:pPr>
            <w:r/>
            <w:r>
              <w:rPr>
                <w:rFonts w:ascii="Arial" w:hAnsi="Arial"/>
                <w:b/>
                <w:color w:val="FFFFFF"/>
                <w:sz w:val="16"/>
              </w:rPr>
              <w:t>Main responsibilities</w:t>
            </w:r>
          </w:p>
        </w:tc>
        <w:tc>
          <w:tcPr>
            <w:tcW w:type="dxa" w:w="3960"/>
            <w:vAlign w:val="center"/>
            <w:shd w:fill="1F4E78"/>
          </w:tcPr>
          <w:p>
            <w:pPr>
              <w:spacing w:after="0"/>
            </w:pPr>
            <w:r/>
            <w:r>
              <w:rPr>
                <w:rFonts w:ascii="Arial" w:hAnsi="Arial"/>
                <w:b/>
                <w:color w:val="FFFFFF"/>
                <w:sz w:val="16"/>
              </w:rPr>
              <w:t>Information or decisions provided or received</w:t>
            </w:r>
          </w:p>
        </w:tc>
        <w:tc>
          <w:tcPr>
            <w:tcW w:type="dxa" w:w="1872"/>
            <w:vAlign w:val="center"/>
            <w:shd w:fill="1F4E78"/>
          </w:tcPr>
          <w:p>
            <w:pPr>
              <w:spacing w:after="0"/>
            </w:pPr>
            <w:r/>
            <w:r>
              <w:rPr>
                <w:rFonts w:ascii="Arial" w:hAnsi="Arial"/>
                <w:b/>
                <w:color w:val="FFFFFF"/>
                <w:sz w:val="16"/>
              </w:rPr>
              <w:t>Category</w:t>
            </w:r>
          </w:p>
        </w:tc>
      </w:tr>
      <w:tr>
        <w:trPr>
          <w:cantSplit/>
        </w:trPr>
        <w:tc>
          <w:tcPr>
            <w:tcW w:type="dxa" w:w="2448"/>
            <w:vAlign w:val="center"/>
          </w:tcPr>
          <w:p>
            <w:pPr>
              <w:spacing w:after="0"/>
            </w:pPr>
            <w:r/>
            <w:r>
              <w:rPr>
                <w:rFonts w:ascii="Arial" w:hAnsi="Arial"/>
                <w:b w:val="0"/>
                <w:sz w:val="16"/>
              </w:rPr>
              <w:t>Patient</w:t>
            </w:r>
          </w:p>
        </w:tc>
        <w:tc>
          <w:tcPr>
            <w:tcW w:type="dxa" w:w="2880"/>
            <w:vAlign w:val="center"/>
          </w:tcPr>
          <w:p>
            <w:pPr>
              <w:spacing w:after="0"/>
            </w:pPr>
            <w:r/>
            <w:r>
              <w:rPr>
                <w:rFonts w:ascii="Arial" w:hAnsi="Arial"/>
                <w:b w:val="0"/>
                <w:sz w:val="16"/>
              </w:rPr>
              <w:t>Timely, safe treatment; understandable communication; privacy; accessible or preferred communication.</w:t>
            </w:r>
          </w:p>
        </w:tc>
        <w:tc>
          <w:tcPr>
            <w:tcW w:type="dxa" w:w="3240"/>
            <w:vAlign w:val="center"/>
          </w:tcPr>
          <w:p>
            <w:pPr>
              <w:spacing w:after="0"/>
            </w:pPr>
            <w:r/>
            <w:r>
              <w:rPr>
                <w:rFonts w:ascii="Arial" w:hAnsi="Arial"/>
                <w:b w:val="0"/>
                <w:sz w:val="16"/>
              </w:rPr>
              <w:t>Provides contact, consent and payment information where required; attends, changes or cancels appointments; raises enquiries.</w:t>
            </w:r>
          </w:p>
        </w:tc>
        <w:tc>
          <w:tcPr>
            <w:tcW w:type="dxa" w:w="3960"/>
            <w:vAlign w:val="center"/>
          </w:tcPr>
          <w:p>
            <w:pPr>
              <w:spacing w:after="0"/>
            </w:pPr>
            <w:r/>
            <w:r>
              <w:rPr>
                <w:rFonts w:ascii="Arial" w:hAnsi="Arial"/>
                <w:b w:val="0"/>
                <w:sz w:val="16"/>
              </w:rPr>
              <w:t>Receives appointments, letters, treatment information, payment status and enquiry responses; provides consent, preferences and payment.</w:t>
            </w:r>
          </w:p>
        </w:tc>
        <w:tc>
          <w:tcPr>
            <w:tcW w:type="dxa" w:w="1872"/>
            <w:vAlign w:val="center"/>
          </w:tcPr>
          <w:p>
            <w:pPr>
              <w:spacing w:after="0"/>
            </w:pPr>
            <w:r/>
            <w:r>
              <w:rPr>
                <w:rFonts w:ascii="Arial" w:hAnsi="Arial"/>
                <w:b w:val="0"/>
                <w:sz w:val="16"/>
              </w:rPr>
              <w:t>Patient-facing / external</w:t>
            </w:r>
          </w:p>
        </w:tc>
      </w:tr>
      <w:tr>
        <w:trPr>
          <w:cantSplit/>
        </w:trPr>
        <w:tc>
          <w:tcPr>
            <w:tcW w:type="dxa" w:w="2448"/>
            <w:vAlign w:val="center"/>
          </w:tcPr>
          <w:p>
            <w:pPr>
              <w:spacing w:after="0"/>
            </w:pPr>
            <w:r/>
            <w:r>
              <w:rPr>
                <w:rFonts w:ascii="Arial" w:hAnsi="Arial"/>
                <w:b w:val="0"/>
                <w:sz w:val="16"/>
              </w:rPr>
              <w:t>General Practitioner (GP)</w:t>
            </w:r>
          </w:p>
        </w:tc>
        <w:tc>
          <w:tcPr>
            <w:tcW w:type="dxa" w:w="2880"/>
            <w:vAlign w:val="center"/>
          </w:tcPr>
          <w:p>
            <w:pPr>
              <w:spacing w:after="0"/>
            </w:pPr>
            <w:r/>
            <w:r>
              <w:rPr>
                <w:rFonts w:ascii="Arial" w:hAnsi="Arial"/>
                <w:b w:val="0"/>
                <w:sz w:val="16"/>
              </w:rPr>
              <w:t>Appropriate specialist referral and timely information about the patient.</w:t>
            </w:r>
          </w:p>
        </w:tc>
        <w:tc>
          <w:tcPr>
            <w:tcW w:type="dxa" w:w="3240"/>
            <w:vAlign w:val="center"/>
          </w:tcPr>
          <w:p>
            <w:pPr>
              <w:spacing w:after="0"/>
            </w:pPr>
            <w:r/>
            <w:r>
              <w:rPr>
                <w:rFonts w:ascii="Arial" w:hAnsi="Arial"/>
                <w:b w:val="0"/>
                <w:sz w:val="16"/>
              </w:rPr>
              <w:t>Refers a patient and may provide missing clinical documentation; may receive clinic letters.</w:t>
            </w:r>
          </w:p>
        </w:tc>
        <w:tc>
          <w:tcPr>
            <w:tcW w:type="dxa" w:w="3960"/>
            <w:vAlign w:val="center"/>
          </w:tcPr>
          <w:p>
            <w:pPr>
              <w:spacing w:after="0"/>
            </w:pPr>
            <w:r/>
            <w:r>
              <w:rPr>
                <w:rFonts w:ascii="Arial" w:hAnsi="Arial"/>
                <w:b w:val="0"/>
                <w:sz w:val="16"/>
              </w:rPr>
              <w:t>Provides referral and supporting information; receives correspondence and potentially referral-related communication.</w:t>
            </w:r>
          </w:p>
        </w:tc>
        <w:tc>
          <w:tcPr>
            <w:tcW w:type="dxa" w:w="1872"/>
            <w:vAlign w:val="center"/>
          </w:tcPr>
          <w:p>
            <w:pPr>
              <w:spacing w:after="0"/>
            </w:pPr>
            <w:r/>
            <w:r>
              <w:rPr>
                <w:rFonts w:ascii="Arial" w:hAnsi="Arial"/>
                <w:b w:val="0"/>
                <w:sz w:val="16"/>
              </w:rPr>
              <w:t>External / clinical</w:t>
            </w:r>
          </w:p>
        </w:tc>
      </w:tr>
      <w:tr>
        <w:trPr>
          <w:cantSplit/>
        </w:trPr>
        <w:tc>
          <w:tcPr>
            <w:tcW w:type="dxa" w:w="2448"/>
            <w:vAlign w:val="center"/>
          </w:tcPr>
          <w:p>
            <w:pPr>
              <w:spacing w:after="0"/>
            </w:pPr>
            <w:r/>
            <w:r>
              <w:rPr>
                <w:rFonts w:ascii="Arial" w:hAnsi="Arial"/>
                <w:b w:val="0"/>
                <w:sz w:val="16"/>
              </w:rPr>
              <w:t>Referring hospital or other healthcare provider</w:t>
            </w:r>
          </w:p>
        </w:tc>
        <w:tc>
          <w:tcPr>
            <w:tcW w:type="dxa" w:w="2880"/>
            <w:vAlign w:val="center"/>
          </w:tcPr>
          <w:p>
            <w:pPr>
              <w:spacing w:after="0"/>
            </w:pPr>
            <w:r/>
            <w:r>
              <w:rPr>
                <w:rFonts w:ascii="Arial" w:hAnsi="Arial"/>
                <w:b w:val="0"/>
                <w:sz w:val="16"/>
              </w:rPr>
              <w:t>Appropriate onward care and complete communication.</w:t>
            </w:r>
          </w:p>
        </w:tc>
        <w:tc>
          <w:tcPr>
            <w:tcW w:type="dxa" w:w="3240"/>
            <w:vAlign w:val="center"/>
          </w:tcPr>
          <w:p>
            <w:pPr>
              <w:spacing w:after="0"/>
            </w:pPr>
            <w:r/>
            <w:r>
              <w:rPr>
                <w:rFonts w:ascii="Arial" w:hAnsi="Arial"/>
                <w:b w:val="0"/>
                <w:sz w:val="16"/>
              </w:rPr>
              <w:t>Submits referrals or supporting information; may receive clinic letters.</w:t>
            </w:r>
          </w:p>
        </w:tc>
        <w:tc>
          <w:tcPr>
            <w:tcW w:type="dxa" w:w="3960"/>
            <w:vAlign w:val="center"/>
          </w:tcPr>
          <w:p>
            <w:pPr>
              <w:spacing w:after="0"/>
            </w:pPr>
            <w:r/>
            <w:r>
              <w:rPr>
                <w:rFonts w:ascii="Arial" w:hAnsi="Arial"/>
                <w:b w:val="0"/>
                <w:sz w:val="16"/>
              </w:rPr>
              <w:t>Provides referral documents; receives correspondence or redirection information.</w:t>
            </w:r>
          </w:p>
        </w:tc>
        <w:tc>
          <w:tcPr>
            <w:tcW w:type="dxa" w:w="1872"/>
            <w:vAlign w:val="center"/>
          </w:tcPr>
          <w:p>
            <w:pPr>
              <w:spacing w:after="0"/>
            </w:pPr>
            <w:r/>
            <w:r>
              <w:rPr>
                <w:rFonts w:ascii="Arial" w:hAnsi="Arial"/>
                <w:b w:val="0"/>
                <w:sz w:val="16"/>
              </w:rPr>
              <w:t>External / clinical</w:t>
            </w:r>
          </w:p>
        </w:tc>
      </w:tr>
      <w:tr>
        <w:trPr>
          <w:cantSplit/>
        </w:trPr>
        <w:tc>
          <w:tcPr>
            <w:tcW w:type="dxa" w:w="2448"/>
            <w:vAlign w:val="center"/>
          </w:tcPr>
          <w:p>
            <w:pPr>
              <w:spacing w:after="0"/>
            </w:pPr>
            <w:r/>
            <w:r>
              <w:rPr>
                <w:rFonts w:ascii="Arial" w:hAnsi="Arial"/>
                <w:b w:val="0"/>
                <w:sz w:val="16"/>
              </w:rPr>
              <w:t>Medical Secretaries</w:t>
            </w:r>
          </w:p>
        </w:tc>
        <w:tc>
          <w:tcPr>
            <w:tcW w:type="dxa" w:w="2880"/>
            <w:vAlign w:val="center"/>
          </w:tcPr>
          <w:p>
            <w:pPr>
              <w:spacing w:after="0"/>
            </w:pPr>
            <w:r/>
            <w:r>
              <w:rPr>
                <w:rFonts w:ascii="Arial" w:hAnsi="Arial"/>
                <w:b w:val="0"/>
                <w:sz w:val="16"/>
              </w:rPr>
              <w:t>Complete referrals and accurate administrative correspondence.</w:t>
            </w:r>
          </w:p>
        </w:tc>
        <w:tc>
          <w:tcPr>
            <w:tcW w:type="dxa" w:w="3240"/>
            <w:vAlign w:val="center"/>
          </w:tcPr>
          <w:p>
            <w:pPr>
              <w:spacing w:after="0"/>
            </w:pPr>
            <w:r/>
            <w:r>
              <w:rPr>
                <w:rFonts w:ascii="Arial" w:hAnsi="Arial"/>
                <w:b w:val="0"/>
                <w:sz w:val="16"/>
              </w:rPr>
              <w:t>Receive referrals; check documents; request missing information; process approved clinic letters.</w:t>
            </w:r>
          </w:p>
        </w:tc>
        <w:tc>
          <w:tcPr>
            <w:tcW w:type="dxa" w:w="3960"/>
            <w:vAlign w:val="center"/>
          </w:tcPr>
          <w:p>
            <w:pPr>
              <w:spacing w:after="0"/>
            </w:pPr>
            <w:r/>
            <w:r>
              <w:rPr>
                <w:rFonts w:ascii="Arial" w:hAnsi="Arial"/>
                <w:b w:val="0"/>
                <w:sz w:val="16"/>
              </w:rPr>
              <w:t>Provide completeness status and administrative checks; receive consultant decisions; record referral and letter actions.</w:t>
            </w:r>
          </w:p>
        </w:tc>
        <w:tc>
          <w:tcPr>
            <w:tcW w:type="dxa" w:w="1872"/>
            <w:vAlign w:val="center"/>
          </w:tcPr>
          <w:p>
            <w:pPr>
              <w:spacing w:after="0"/>
            </w:pPr>
            <w:r/>
            <w:r>
              <w:rPr>
                <w:rFonts w:ascii="Arial" w:hAnsi="Arial"/>
                <w:b w:val="0"/>
                <w:sz w:val="16"/>
              </w:rPr>
              <w:t>Administrative / patient-facing</w:t>
            </w:r>
          </w:p>
        </w:tc>
      </w:tr>
      <w:tr>
        <w:trPr>
          <w:cantSplit/>
        </w:trPr>
        <w:tc>
          <w:tcPr>
            <w:tcW w:type="dxa" w:w="2448"/>
            <w:vAlign w:val="center"/>
          </w:tcPr>
          <w:p>
            <w:pPr>
              <w:spacing w:after="0"/>
            </w:pPr>
            <w:r/>
            <w:r>
              <w:rPr>
                <w:rFonts w:ascii="Arial" w:hAnsi="Arial"/>
                <w:b w:val="0"/>
                <w:sz w:val="16"/>
              </w:rPr>
              <w:t>Consultants</w:t>
            </w:r>
          </w:p>
        </w:tc>
        <w:tc>
          <w:tcPr>
            <w:tcW w:type="dxa" w:w="2880"/>
            <w:vAlign w:val="center"/>
          </w:tcPr>
          <w:p>
            <w:pPr>
              <w:spacing w:after="0"/>
            </w:pPr>
            <w:r/>
            <w:r>
              <w:rPr>
                <w:rFonts w:ascii="Arial" w:hAnsi="Arial"/>
                <w:b w:val="0"/>
                <w:sz w:val="16"/>
              </w:rPr>
              <w:t>Clinically appropriate, safe and timely patient care.</w:t>
            </w:r>
          </w:p>
        </w:tc>
        <w:tc>
          <w:tcPr>
            <w:tcW w:type="dxa" w:w="3240"/>
            <w:vAlign w:val="center"/>
          </w:tcPr>
          <w:p>
            <w:pPr>
              <w:spacing w:after="0"/>
            </w:pPr>
            <w:r/>
            <w:r>
              <w:rPr>
                <w:rFonts w:ascii="Arial" w:hAnsi="Arial"/>
                <w:b w:val="0"/>
                <w:sz w:val="16"/>
              </w:rPr>
              <w:t>Clinically review referrals; assess, diagnose and discuss options; record consent; authorise treatment and modifications; create and approve clinic letters; request follow-ups.</w:t>
            </w:r>
          </w:p>
        </w:tc>
        <w:tc>
          <w:tcPr>
            <w:tcW w:type="dxa" w:w="3960"/>
            <w:vAlign w:val="center"/>
          </w:tcPr>
          <w:p>
            <w:pPr>
              <w:spacing w:after="0"/>
            </w:pPr>
            <w:r/>
            <w:r>
              <w:rPr>
                <w:rFonts w:ascii="Arial" w:hAnsi="Arial"/>
                <w:b w:val="0"/>
                <w:sz w:val="16"/>
              </w:rPr>
              <w:t>Provide clinical decisions, reasons, treatment requests and letters; receive referrals, results and patient information.</w:t>
            </w:r>
          </w:p>
        </w:tc>
        <w:tc>
          <w:tcPr>
            <w:tcW w:type="dxa" w:w="1872"/>
            <w:vAlign w:val="center"/>
          </w:tcPr>
          <w:p>
            <w:pPr>
              <w:spacing w:after="0"/>
            </w:pPr>
            <w:r/>
            <w:r>
              <w:rPr>
                <w:rFonts w:ascii="Arial" w:hAnsi="Arial"/>
                <w:b w:val="0"/>
                <w:sz w:val="16"/>
              </w:rPr>
              <w:t>Clinical / management</w:t>
            </w:r>
          </w:p>
        </w:tc>
      </w:tr>
      <w:tr>
        <w:trPr>
          <w:cantSplit/>
        </w:trPr>
        <w:tc>
          <w:tcPr>
            <w:tcW w:type="dxa" w:w="2448"/>
            <w:vAlign w:val="center"/>
          </w:tcPr>
          <w:p>
            <w:pPr>
              <w:spacing w:after="0"/>
            </w:pPr>
            <w:r/>
            <w:r>
              <w:rPr>
                <w:rFonts w:ascii="Arial" w:hAnsi="Arial"/>
                <w:b w:val="0"/>
                <w:sz w:val="16"/>
              </w:rPr>
              <w:t>Other authorised clinical professionals</w:t>
            </w:r>
          </w:p>
        </w:tc>
        <w:tc>
          <w:tcPr>
            <w:tcW w:type="dxa" w:w="2880"/>
            <w:vAlign w:val="center"/>
          </w:tcPr>
          <w:p>
            <w:pPr>
              <w:spacing w:after="0"/>
            </w:pPr>
            <w:r/>
            <w:r>
              <w:rPr>
                <w:rFonts w:ascii="Arial" w:hAnsi="Arial"/>
                <w:b w:val="0"/>
                <w:sz w:val="16"/>
              </w:rPr>
              <w:t>Safe, clinically appropriate care.</w:t>
            </w:r>
          </w:p>
        </w:tc>
        <w:tc>
          <w:tcPr>
            <w:tcW w:type="dxa" w:w="3240"/>
            <w:vAlign w:val="center"/>
          </w:tcPr>
          <w:p>
            <w:pPr>
              <w:spacing w:after="0"/>
            </w:pPr>
            <w:r/>
            <w:r>
              <w:rPr>
                <w:rFonts w:ascii="Arial" w:hAnsi="Arial"/>
                <w:b w:val="0"/>
                <w:sz w:val="16"/>
              </w:rPr>
              <w:t>Support assessment and may authorise treatment or follow-up/modification requests where appropriately authorised.</w:t>
            </w:r>
          </w:p>
        </w:tc>
        <w:tc>
          <w:tcPr>
            <w:tcW w:type="dxa" w:w="3960"/>
            <w:vAlign w:val="center"/>
          </w:tcPr>
          <w:p>
            <w:pPr>
              <w:spacing w:after="0"/>
            </w:pPr>
            <w:r/>
            <w:r>
              <w:rPr>
                <w:rFonts w:ascii="Arial" w:hAnsi="Arial"/>
                <w:b w:val="0"/>
                <w:sz w:val="16"/>
              </w:rPr>
              <w:t>Provide or receive clinical assessments, treatment reviews and modification decisions.</w:t>
            </w:r>
          </w:p>
        </w:tc>
        <w:tc>
          <w:tcPr>
            <w:tcW w:type="dxa" w:w="1872"/>
            <w:vAlign w:val="center"/>
          </w:tcPr>
          <w:p>
            <w:pPr>
              <w:spacing w:after="0"/>
            </w:pPr>
            <w:r/>
            <w:r>
              <w:rPr>
                <w:rFonts w:ascii="Arial" w:hAnsi="Arial"/>
                <w:b w:val="0"/>
                <w:sz w:val="16"/>
              </w:rPr>
              <w:t>Clinical</w:t>
            </w:r>
          </w:p>
        </w:tc>
      </w:tr>
      <w:tr>
        <w:trPr>
          <w:cantSplit/>
        </w:trPr>
        <w:tc>
          <w:tcPr>
            <w:tcW w:type="dxa" w:w="2448"/>
            <w:vAlign w:val="center"/>
          </w:tcPr>
          <w:p>
            <w:pPr>
              <w:spacing w:after="0"/>
            </w:pPr>
            <w:r/>
            <w:r>
              <w:rPr>
                <w:rFonts w:ascii="Arial" w:hAnsi="Arial"/>
                <w:b w:val="0"/>
                <w:sz w:val="16"/>
              </w:rPr>
              <w:t>Clinical Nurse Specialist (CNS) Team</w:t>
            </w:r>
          </w:p>
        </w:tc>
        <w:tc>
          <w:tcPr>
            <w:tcW w:type="dxa" w:w="2880"/>
            <w:vAlign w:val="center"/>
          </w:tcPr>
          <w:p>
            <w:pPr>
              <w:spacing w:after="0"/>
            </w:pPr>
            <w:r/>
            <w:r>
              <w:rPr>
                <w:rFonts w:ascii="Arial" w:hAnsi="Arial"/>
                <w:b w:val="0"/>
                <w:sz w:val="16"/>
              </w:rPr>
              <w:t>Clinical advice, treatment support and condition information for patients.</w:t>
            </w:r>
          </w:p>
        </w:tc>
        <w:tc>
          <w:tcPr>
            <w:tcW w:type="dxa" w:w="3240"/>
            <w:vAlign w:val="center"/>
          </w:tcPr>
          <w:p>
            <w:pPr>
              <w:spacing w:after="0"/>
            </w:pPr>
            <w:r/>
            <w:r>
              <w:rPr>
                <w:rFonts w:ascii="Arial" w:hAnsi="Arial"/>
                <w:b w:val="0"/>
                <w:sz w:val="16"/>
              </w:rPr>
              <w:t>Respond to or manage routed clinical enquiries within clinical authority.</w:t>
            </w:r>
          </w:p>
        </w:tc>
        <w:tc>
          <w:tcPr>
            <w:tcW w:type="dxa" w:w="3960"/>
            <w:vAlign w:val="center"/>
          </w:tcPr>
          <w:p>
            <w:pPr>
              <w:spacing w:after="0"/>
            </w:pPr>
            <w:r/>
            <w:r>
              <w:rPr>
                <w:rFonts w:ascii="Arial" w:hAnsi="Arial"/>
                <w:b w:val="0"/>
                <w:sz w:val="16"/>
              </w:rPr>
              <w:t>Receives clinical enquiries; provides authorised clinical responses and escalation information.</w:t>
            </w:r>
          </w:p>
        </w:tc>
        <w:tc>
          <w:tcPr>
            <w:tcW w:type="dxa" w:w="1872"/>
            <w:vAlign w:val="center"/>
          </w:tcPr>
          <w:p>
            <w:pPr>
              <w:spacing w:after="0"/>
            </w:pPr>
            <w:r/>
            <w:r>
              <w:rPr>
                <w:rFonts w:ascii="Arial" w:hAnsi="Arial"/>
                <w:b w:val="0"/>
                <w:sz w:val="16"/>
              </w:rPr>
              <w:t>Clinical / patient-facing</w:t>
            </w:r>
          </w:p>
        </w:tc>
      </w:tr>
      <w:tr>
        <w:trPr>
          <w:cantSplit/>
        </w:trPr>
        <w:tc>
          <w:tcPr>
            <w:tcW w:type="dxa" w:w="2448"/>
            <w:vAlign w:val="center"/>
          </w:tcPr>
          <w:p>
            <w:pPr>
              <w:spacing w:after="0"/>
            </w:pPr>
            <w:r/>
            <w:r>
              <w:rPr>
                <w:rFonts w:ascii="Arial" w:hAnsi="Arial"/>
                <w:b w:val="0"/>
                <w:sz w:val="16"/>
              </w:rPr>
              <w:t>CNS Administrative Support Team</w:t>
            </w:r>
          </w:p>
        </w:tc>
        <w:tc>
          <w:tcPr>
            <w:tcW w:type="dxa" w:w="2880"/>
            <w:vAlign w:val="center"/>
          </w:tcPr>
          <w:p>
            <w:pPr>
              <w:spacing w:after="0"/>
            </w:pPr>
            <w:r/>
            <w:r>
              <w:rPr>
                <w:rFonts w:ascii="Arial" w:hAnsi="Arial"/>
                <w:b w:val="0"/>
                <w:sz w:val="16"/>
              </w:rPr>
              <w:t>Coordinated support for the CNS service.</w:t>
            </w:r>
          </w:p>
        </w:tc>
        <w:tc>
          <w:tcPr>
            <w:tcW w:type="dxa" w:w="3240"/>
            <w:vAlign w:val="center"/>
          </w:tcPr>
          <w:p>
            <w:pPr>
              <w:spacing w:after="0"/>
            </w:pPr>
            <w:r/>
            <w:r>
              <w:rPr>
                <w:rFonts w:ascii="Arial" w:hAnsi="Arial"/>
                <w:b w:val="0"/>
                <w:sz w:val="16"/>
              </w:rPr>
              <w:t>Provides administrative support to the CNS team.</w:t>
            </w:r>
          </w:p>
        </w:tc>
        <w:tc>
          <w:tcPr>
            <w:tcW w:type="dxa" w:w="3960"/>
            <w:vAlign w:val="center"/>
          </w:tcPr>
          <w:p>
            <w:pPr>
              <w:spacing w:after="0"/>
            </w:pPr>
            <w:r/>
            <w:r>
              <w:rPr>
                <w:rFonts w:ascii="Arial" w:hAnsi="Arial"/>
                <w:b w:val="0"/>
                <w:sz w:val="16"/>
              </w:rPr>
              <w:t>Receives and provides administrative support information; exact scope is not specified.</w:t>
            </w:r>
          </w:p>
        </w:tc>
        <w:tc>
          <w:tcPr>
            <w:tcW w:type="dxa" w:w="1872"/>
            <w:vAlign w:val="center"/>
          </w:tcPr>
          <w:p>
            <w:pPr>
              <w:spacing w:after="0"/>
            </w:pPr>
            <w:r/>
            <w:r>
              <w:rPr>
                <w:rFonts w:ascii="Arial" w:hAnsi="Arial"/>
                <w:b w:val="0"/>
                <w:sz w:val="16"/>
              </w:rPr>
              <w:t>Administrative / patient-facing</w:t>
            </w:r>
          </w:p>
        </w:tc>
      </w:tr>
      <w:tr>
        <w:trPr>
          <w:cantSplit/>
        </w:trPr>
        <w:tc>
          <w:tcPr>
            <w:tcW w:type="dxa" w:w="2448"/>
            <w:vAlign w:val="center"/>
          </w:tcPr>
          <w:p>
            <w:pPr>
              <w:spacing w:after="0"/>
            </w:pPr>
            <w:r/>
            <w:r>
              <w:rPr>
                <w:rFonts w:ascii="Arial" w:hAnsi="Arial"/>
                <w:b w:val="0"/>
                <w:sz w:val="16"/>
              </w:rPr>
              <w:t>Outpatient Bookings Team</w:t>
            </w:r>
          </w:p>
        </w:tc>
        <w:tc>
          <w:tcPr>
            <w:tcW w:type="dxa" w:w="2880"/>
            <w:vAlign w:val="center"/>
          </w:tcPr>
          <w:p>
            <w:pPr>
              <w:spacing w:after="0"/>
            </w:pPr>
            <w:r/>
            <w:r>
              <w:rPr>
                <w:rFonts w:ascii="Arial" w:hAnsi="Arial"/>
                <w:b w:val="0"/>
                <w:sz w:val="16"/>
              </w:rPr>
              <w:t>Appropriate appointments within clinical timeframes.</w:t>
            </w:r>
          </w:p>
        </w:tc>
        <w:tc>
          <w:tcPr>
            <w:tcW w:type="dxa" w:w="3240"/>
            <w:vAlign w:val="center"/>
          </w:tcPr>
          <w:p>
            <w:pPr>
              <w:spacing w:after="0"/>
            </w:pPr>
            <w:r/>
            <w:r>
              <w:rPr>
                <w:rFonts w:ascii="Arial" w:hAnsi="Arial"/>
                <w:b w:val="0"/>
                <w:sz w:val="16"/>
              </w:rPr>
              <w:t>Books new-patient and follow-up appointments; records booking outcomes and patient contact attempts.</w:t>
            </w:r>
          </w:p>
        </w:tc>
        <w:tc>
          <w:tcPr>
            <w:tcW w:type="dxa" w:w="3960"/>
            <w:vAlign w:val="center"/>
          </w:tcPr>
          <w:p>
            <w:pPr>
              <w:spacing w:after="0"/>
            </w:pPr>
            <w:r/>
            <w:r>
              <w:rPr>
                <w:rFonts w:ascii="Arial" w:hAnsi="Arial"/>
                <w:b w:val="0"/>
                <w:sz w:val="16"/>
              </w:rPr>
              <w:t>Receives authorised booking requests; sends appointment details; receives scheduling availability and patient responses.</w:t>
            </w:r>
          </w:p>
        </w:tc>
        <w:tc>
          <w:tcPr>
            <w:tcW w:type="dxa" w:w="1872"/>
            <w:vAlign w:val="center"/>
          </w:tcPr>
          <w:p>
            <w:pPr>
              <w:spacing w:after="0"/>
            </w:pPr>
            <w:r/>
            <w:r>
              <w:rPr>
                <w:rFonts w:ascii="Arial" w:hAnsi="Arial"/>
                <w:b w:val="0"/>
                <w:sz w:val="16"/>
              </w:rPr>
              <w:t>Administrative / patient-facing</w:t>
            </w:r>
          </w:p>
        </w:tc>
      </w:tr>
      <w:tr>
        <w:trPr>
          <w:cantSplit/>
        </w:trPr>
        <w:tc>
          <w:tcPr>
            <w:tcW w:type="dxa" w:w="2448"/>
            <w:vAlign w:val="center"/>
          </w:tcPr>
          <w:p>
            <w:pPr>
              <w:spacing w:after="0"/>
            </w:pPr>
            <w:r/>
            <w:r>
              <w:rPr>
                <w:rFonts w:ascii="Arial" w:hAnsi="Arial"/>
                <w:b w:val="0"/>
                <w:sz w:val="16"/>
              </w:rPr>
              <w:t>Call Handling Team</w:t>
            </w:r>
          </w:p>
        </w:tc>
        <w:tc>
          <w:tcPr>
            <w:tcW w:type="dxa" w:w="2880"/>
            <w:vAlign w:val="center"/>
          </w:tcPr>
          <w:p>
            <w:pPr>
              <w:spacing w:after="0"/>
            </w:pPr>
            <w:r/>
            <w:r>
              <w:rPr>
                <w:rFonts w:ascii="Arial" w:hAnsi="Arial"/>
                <w:b w:val="0"/>
                <w:sz w:val="16"/>
              </w:rPr>
              <w:t>Accurate and safe handling of patient contacts.</w:t>
            </w:r>
          </w:p>
        </w:tc>
        <w:tc>
          <w:tcPr>
            <w:tcW w:type="dxa" w:w="3240"/>
            <w:vAlign w:val="center"/>
          </w:tcPr>
          <w:p>
            <w:pPr>
              <w:spacing w:after="0"/>
            </w:pPr>
            <w:r/>
            <w:r>
              <w:rPr>
                <w:rFonts w:ascii="Arial" w:hAnsi="Arial"/>
                <w:b w:val="0"/>
                <w:sz w:val="16"/>
              </w:rPr>
              <w:t>Records, classifies, prioritises and routes enquiries; answers authorised administrative questions.</w:t>
            </w:r>
          </w:p>
        </w:tc>
        <w:tc>
          <w:tcPr>
            <w:tcW w:type="dxa" w:w="3960"/>
            <w:vAlign w:val="center"/>
          </w:tcPr>
          <w:p>
            <w:pPr>
              <w:spacing w:after="0"/>
            </w:pPr>
            <w:r/>
            <w:r>
              <w:rPr>
                <w:rFonts w:ascii="Arial" w:hAnsi="Arial"/>
                <w:b w:val="0"/>
                <w:sz w:val="16"/>
              </w:rPr>
              <w:t>Receives enquiries; provides administrative information or routes clinical/financial matters.</w:t>
            </w:r>
          </w:p>
        </w:tc>
        <w:tc>
          <w:tcPr>
            <w:tcW w:type="dxa" w:w="1872"/>
            <w:vAlign w:val="center"/>
          </w:tcPr>
          <w:p>
            <w:pPr>
              <w:spacing w:after="0"/>
            </w:pPr>
            <w:r/>
            <w:r>
              <w:rPr>
                <w:rFonts w:ascii="Arial" w:hAnsi="Arial"/>
                <w:b w:val="0"/>
                <w:sz w:val="16"/>
              </w:rPr>
              <w:t>Administrative / patient-facing</w:t>
            </w:r>
          </w:p>
        </w:tc>
      </w:tr>
      <w:tr>
        <w:trPr>
          <w:cantSplit/>
        </w:trPr>
        <w:tc>
          <w:tcPr>
            <w:tcW w:type="dxa" w:w="2448"/>
            <w:vAlign w:val="center"/>
          </w:tcPr>
          <w:p>
            <w:pPr>
              <w:spacing w:after="0"/>
            </w:pPr>
            <w:r/>
            <w:r>
              <w:rPr>
                <w:rFonts w:ascii="Arial" w:hAnsi="Arial"/>
                <w:b w:val="0"/>
                <w:sz w:val="16"/>
              </w:rPr>
              <w:t>Treatment and Chemotherapy Bookings Team</w:t>
            </w:r>
          </w:p>
        </w:tc>
        <w:tc>
          <w:tcPr>
            <w:tcW w:type="dxa" w:w="2880"/>
            <w:vAlign w:val="center"/>
          </w:tcPr>
          <w:p>
            <w:pPr>
              <w:spacing w:after="0"/>
            </w:pPr>
            <w:r/>
            <w:r>
              <w:rPr>
                <w:rFonts w:ascii="Arial" w:hAnsi="Arial"/>
                <w:b w:val="0"/>
                <w:sz w:val="16"/>
              </w:rPr>
              <w:t>Timely, non-duplicated treatment bookings.</w:t>
            </w:r>
          </w:p>
        </w:tc>
        <w:tc>
          <w:tcPr>
            <w:tcW w:type="dxa" w:w="3240"/>
            <w:vAlign w:val="center"/>
          </w:tcPr>
          <w:p>
            <w:pPr>
              <w:spacing w:after="0"/>
            </w:pPr>
            <w:r/>
            <w:r>
              <w:rPr>
                <w:rFonts w:ascii="Arial" w:hAnsi="Arial"/>
                <w:b w:val="0"/>
                <w:sz w:val="16"/>
              </w:rPr>
              <w:t>Coordinates appointments only from authorised treatment requests; manages pending external availability.</w:t>
            </w:r>
          </w:p>
        </w:tc>
        <w:tc>
          <w:tcPr>
            <w:tcW w:type="dxa" w:w="3960"/>
            <w:vAlign w:val="center"/>
          </w:tcPr>
          <w:p>
            <w:pPr>
              <w:spacing w:after="0"/>
            </w:pPr>
            <w:r/>
            <w:r>
              <w:rPr>
                <w:rFonts w:ascii="Arial" w:hAnsi="Arial"/>
                <w:b w:val="0"/>
                <w:sz w:val="16"/>
              </w:rPr>
              <w:t>Receives authorised booking/modification requests and availability; records booking or pending outcomes.</w:t>
            </w:r>
          </w:p>
        </w:tc>
        <w:tc>
          <w:tcPr>
            <w:tcW w:type="dxa" w:w="1872"/>
            <w:vAlign w:val="center"/>
          </w:tcPr>
          <w:p>
            <w:pPr>
              <w:spacing w:after="0"/>
            </w:pPr>
            <w:r/>
            <w:r>
              <w:rPr>
                <w:rFonts w:ascii="Arial" w:hAnsi="Arial"/>
                <w:b w:val="0"/>
                <w:sz w:val="16"/>
              </w:rPr>
              <w:t>Administrative</w:t>
            </w:r>
          </w:p>
        </w:tc>
      </w:tr>
      <w:tr>
        <w:trPr>
          <w:cantSplit/>
        </w:trPr>
        <w:tc>
          <w:tcPr>
            <w:tcW w:type="dxa" w:w="2448"/>
            <w:vAlign w:val="center"/>
          </w:tcPr>
          <w:p>
            <w:pPr>
              <w:spacing w:after="0"/>
            </w:pPr>
            <w:r/>
            <w:r>
              <w:rPr>
                <w:rFonts w:ascii="Arial" w:hAnsi="Arial"/>
                <w:b w:val="0"/>
                <w:sz w:val="16"/>
              </w:rPr>
              <w:t>Patient Pathway Coordinators</w:t>
            </w:r>
          </w:p>
        </w:tc>
        <w:tc>
          <w:tcPr>
            <w:tcW w:type="dxa" w:w="2880"/>
            <w:vAlign w:val="center"/>
          </w:tcPr>
          <w:p>
            <w:pPr>
              <w:spacing w:after="0"/>
            </w:pPr>
            <w:r/>
            <w:r>
              <w:rPr>
                <w:rFonts w:ascii="Arial" w:hAnsi="Arial"/>
                <w:b w:val="0"/>
                <w:sz w:val="16"/>
              </w:rPr>
              <w:t>Visibility and resolution of pathway delays.</w:t>
            </w:r>
          </w:p>
        </w:tc>
        <w:tc>
          <w:tcPr>
            <w:tcW w:type="dxa" w:w="3240"/>
            <w:vAlign w:val="center"/>
          </w:tcPr>
          <w:p>
            <w:pPr>
              <w:spacing w:after="0"/>
            </w:pPr>
            <w:r/>
            <w:r>
              <w:rPr>
                <w:rFonts w:ascii="Arial" w:hAnsi="Arial"/>
                <w:b w:val="0"/>
                <w:sz w:val="16"/>
              </w:rPr>
              <w:t>Review outstanding correspondence; issue weekly reminders; highlight booking/pathway exceptions.</w:t>
            </w:r>
          </w:p>
        </w:tc>
        <w:tc>
          <w:tcPr>
            <w:tcW w:type="dxa" w:w="3960"/>
            <w:vAlign w:val="center"/>
          </w:tcPr>
          <w:p>
            <w:pPr>
              <w:spacing w:after="0"/>
            </w:pPr>
            <w:r/>
            <w:r>
              <w:rPr>
                <w:rFonts w:ascii="Arial" w:hAnsi="Arial"/>
                <w:b w:val="0"/>
                <w:sz w:val="16"/>
              </w:rPr>
              <w:t>Receive monitoring data and unresolved cases; provide reminders and escalation records.</w:t>
            </w:r>
          </w:p>
        </w:tc>
        <w:tc>
          <w:tcPr>
            <w:tcW w:type="dxa" w:w="1872"/>
            <w:vAlign w:val="center"/>
          </w:tcPr>
          <w:p>
            <w:pPr>
              <w:spacing w:after="0"/>
            </w:pPr>
            <w:r/>
            <w:r>
              <w:rPr>
                <w:rFonts w:ascii="Arial" w:hAnsi="Arial"/>
                <w:b w:val="0"/>
                <w:sz w:val="16"/>
              </w:rPr>
              <w:t>Administrative / management</w:t>
            </w:r>
          </w:p>
        </w:tc>
      </w:tr>
      <w:tr>
        <w:trPr>
          <w:cantSplit/>
        </w:trPr>
        <w:tc>
          <w:tcPr>
            <w:tcW w:type="dxa" w:w="2448"/>
            <w:vAlign w:val="center"/>
          </w:tcPr>
          <w:p>
            <w:pPr>
              <w:spacing w:after="0"/>
            </w:pPr>
            <w:r/>
            <w:r>
              <w:rPr>
                <w:rFonts w:ascii="Arial" w:hAnsi="Arial"/>
                <w:b w:val="0"/>
                <w:sz w:val="16"/>
              </w:rPr>
              <w:t>Finance Team and authorised Finance members</w:t>
            </w:r>
          </w:p>
        </w:tc>
        <w:tc>
          <w:tcPr>
            <w:tcW w:type="dxa" w:w="2880"/>
            <w:vAlign w:val="center"/>
          </w:tcPr>
          <w:p>
            <w:pPr>
              <w:spacing w:after="0"/>
            </w:pPr>
            <w:r/>
            <w:r>
              <w:rPr>
                <w:rFonts w:ascii="Arial" w:hAnsi="Arial"/>
                <w:b w:val="0"/>
                <w:sz w:val="16"/>
              </w:rPr>
              <w:t>Correct funding, payment, refund and financial accountability.</w:t>
            </w:r>
          </w:p>
        </w:tc>
        <w:tc>
          <w:tcPr>
            <w:tcW w:type="dxa" w:w="3240"/>
            <w:vAlign w:val="center"/>
          </w:tcPr>
          <w:p>
            <w:pPr>
              <w:spacing w:after="0"/>
            </w:pPr>
            <w:r/>
            <w:r>
              <w:rPr>
                <w:rFonts w:ascii="Arial" w:hAnsi="Arial"/>
                <w:b w:val="0"/>
                <w:sz w:val="16"/>
              </w:rPr>
              <w:t>Record funding approvals; handle payment channels; investigate exceptions; decide refunds within authority.</w:t>
            </w:r>
          </w:p>
        </w:tc>
        <w:tc>
          <w:tcPr>
            <w:tcW w:type="dxa" w:w="3960"/>
            <w:vAlign w:val="center"/>
          </w:tcPr>
          <w:p>
            <w:pPr>
              <w:spacing w:after="0"/>
            </w:pPr>
            <w:r/>
            <w:r>
              <w:rPr>
                <w:rFonts w:ascii="Arial" w:hAnsi="Arial"/>
                <w:b w:val="0"/>
                <w:sz w:val="16"/>
              </w:rPr>
              <w:t>Receives funding/payment/modification/cancellation information; provides financial approval, status and refund decision.</w:t>
            </w:r>
          </w:p>
        </w:tc>
        <w:tc>
          <w:tcPr>
            <w:tcW w:type="dxa" w:w="1872"/>
            <w:vAlign w:val="center"/>
          </w:tcPr>
          <w:p>
            <w:pPr>
              <w:spacing w:after="0"/>
            </w:pPr>
            <w:r/>
            <w:r>
              <w:rPr>
                <w:rFonts w:ascii="Arial" w:hAnsi="Arial"/>
                <w:b w:val="0"/>
                <w:sz w:val="16"/>
              </w:rPr>
              <w:t>Financial / patient-facing</w:t>
            </w:r>
          </w:p>
        </w:tc>
      </w:tr>
      <w:tr>
        <w:trPr>
          <w:cantSplit/>
        </w:trPr>
        <w:tc>
          <w:tcPr>
            <w:tcW w:type="dxa" w:w="2448"/>
            <w:vAlign w:val="center"/>
          </w:tcPr>
          <w:p>
            <w:pPr>
              <w:spacing w:after="0"/>
            </w:pPr>
            <w:r/>
            <w:r>
              <w:rPr>
                <w:rFonts w:ascii="Arial" w:hAnsi="Arial"/>
                <w:b w:val="0"/>
                <w:sz w:val="16"/>
              </w:rPr>
              <w:t>Administrative Management Team / Administrative Manager</w:t>
            </w:r>
          </w:p>
        </w:tc>
        <w:tc>
          <w:tcPr>
            <w:tcW w:type="dxa" w:w="2880"/>
            <w:vAlign w:val="center"/>
          </w:tcPr>
          <w:p>
            <w:pPr>
              <w:spacing w:after="0"/>
            </w:pPr>
            <w:r/>
            <w:r>
              <w:rPr>
                <w:rFonts w:ascii="Arial" w:hAnsi="Arial"/>
                <w:b w:val="0"/>
                <w:sz w:val="16"/>
              </w:rPr>
              <w:t>Operational accountability and timely resolution of delays.</w:t>
            </w:r>
          </w:p>
        </w:tc>
        <w:tc>
          <w:tcPr>
            <w:tcW w:type="dxa" w:w="3240"/>
            <w:vAlign w:val="center"/>
          </w:tcPr>
          <w:p>
            <w:pPr>
              <w:spacing w:after="0"/>
            </w:pPr>
            <w:r/>
            <w:r>
              <w:rPr>
                <w:rFonts w:ascii="Arial" w:hAnsi="Arial"/>
                <w:b w:val="0"/>
                <w:sz w:val="16"/>
              </w:rPr>
              <w:t>Receives escalations; contacts responsible consultant for long-outstanding letters; oversees administration.</w:t>
            </w:r>
          </w:p>
        </w:tc>
        <w:tc>
          <w:tcPr>
            <w:tcW w:type="dxa" w:w="3960"/>
            <w:vAlign w:val="center"/>
          </w:tcPr>
          <w:p>
            <w:pPr>
              <w:spacing w:after="0"/>
            </w:pPr>
            <w:r/>
            <w:r>
              <w:rPr>
                <w:rFonts w:ascii="Arial" w:hAnsi="Arial"/>
                <w:b w:val="0"/>
                <w:sz w:val="16"/>
              </w:rPr>
              <w:t>Receives pathway monitoring and escalations; provides management action.</w:t>
            </w:r>
          </w:p>
        </w:tc>
        <w:tc>
          <w:tcPr>
            <w:tcW w:type="dxa" w:w="1872"/>
            <w:vAlign w:val="center"/>
          </w:tcPr>
          <w:p>
            <w:pPr>
              <w:spacing w:after="0"/>
            </w:pPr>
            <w:r/>
            <w:r>
              <w:rPr>
                <w:rFonts w:ascii="Arial" w:hAnsi="Arial"/>
                <w:b w:val="0"/>
                <w:sz w:val="16"/>
              </w:rPr>
              <w:t>Management / administrative</w:t>
            </w:r>
          </w:p>
        </w:tc>
      </w:tr>
      <w:tr>
        <w:trPr>
          <w:cantSplit/>
        </w:trPr>
        <w:tc>
          <w:tcPr>
            <w:tcW w:type="dxa" w:w="2448"/>
            <w:vAlign w:val="center"/>
          </w:tcPr>
          <w:p>
            <w:pPr>
              <w:spacing w:after="0"/>
            </w:pPr>
            <w:r/>
            <w:r>
              <w:rPr>
                <w:rFonts w:ascii="Arial" w:hAnsi="Arial"/>
                <w:b w:val="0"/>
                <w:sz w:val="16"/>
              </w:rPr>
              <w:t>Higher management team</w:t>
            </w:r>
          </w:p>
        </w:tc>
        <w:tc>
          <w:tcPr>
            <w:tcW w:type="dxa" w:w="2880"/>
            <w:vAlign w:val="center"/>
          </w:tcPr>
          <w:p>
            <w:pPr>
              <w:spacing w:after="0"/>
            </w:pPr>
            <w:r/>
            <w:r>
              <w:rPr>
                <w:rFonts w:ascii="Arial" w:hAnsi="Arial"/>
                <w:b w:val="0"/>
                <w:sz w:val="16"/>
              </w:rPr>
              <w:t>Oversight of material persistent delays and service performance.</w:t>
            </w:r>
          </w:p>
        </w:tc>
        <w:tc>
          <w:tcPr>
            <w:tcW w:type="dxa" w:w="3240"/>
            <w:vAlign w:val="center"/>
          </w:tcPr>
          <w:p>
            <w:pPr>
              <w:spacing w:after="0"/>
            </w:pPr>
            <w:r/>
            <w:r>
              <w:rPr>
                <w:rFonts w:ascii="Arial" w:hAnsi="Arial"/>
                <w:b w:val="0"/>
                <w:sz w:val="16"/>
              </w:rPr>
              <w:t>Receives three-month correspondence escalation and management reports.</w:t>
            </w:r>
          </w:p>
        </w:tc>
        <w:tc>
          <w:tcPr>
            <w:tcW w:type="dxa" w:w="3960"/>
            <w:vAlign w:val="center"/>
          </w:tcPr>
          <w:p>
            <w:pPr>
              <w:spacing w:after="0"/>
            </w:pPr>
            <w:r/>
            <w:r>
              <w:rPr>
                <w:rFonts w:ascii="Arial" w:hAnsi="Arial"/>
                <w:b w:val="0"/>
                <w:sz w:val="16"/>
              </w:rPr>
              <w:t>Receives escalations and reporting information; provides management direction.</w:t>
            </w:r>
          </w:p>
        </w:tc>
        <w:tc>
          <w:tcPr>
            <w:tcW w:type="dxa" w:w="1872"/>
            <w:vAlign w:val="center"/>
          </w:tcPr>
          <w:p>
            <w:pPr>
              <w:spacing w:after="0"/>
            </w:pPr>
            <w:r/>
            <w:r>
              <w:rPr>
                <w:rFonts w:ascii="Arial" w:hAnsi="Arial"/>
                <w:b w:val="0"/>
                <w:sz w:val="16"/>
              </w:rPr>
              <w:t>Management</w:t>
            </w:r>
          </w:p>
        </w:tc>
      </w:tr>
      <w:tr>
        <w:trPr>
          <w:cantSplit/>
        </w:trPr>
        <w:tc>
          <w:tcPr>
            <w:tcW w:type="dxa" w:w="2448"/>
            <w:vAlign w:val="center"/>
          </w:tcPr>
          <w:p>
            <w:pPr>
              <w:spacing w:after="0"/>
            </w:pPr>
            <w:r/>
            <w:r>
              <w:rPr>
                <w:rFonts w:ascii="Arial" w:hAnsi="Arial"/>
                <w:b w:val="0"/>
                <w:sz w:val="16"/>
              </w:rPr>
              <w:t>Requirements engineering team</w:t>
            </w:r>
          </w:p>
        </w:tc>
        <w:tc>
          <w:tcPr>
            <w:tcW w:type="dxa" w:w="2880"/>
            <w:vAlign w:val="center"/>
          </w:tcPr>
          <w:p>
            <w:pPr>
              <w:spacing w:after="0"/>
            </w:pPr>
            <w:r/>
            <w:r>
              <w:rPr>
                <w:rFonts w:ascii="Arial" w:hAnsi="Arial"/>
                <w:b w:val="0"/>
                <w:sz w:val="16"/>
              </w:rPr>
              <w:t>Complete, agreed and testable system requirements.</w:t>
            </w:r>
          </w:p>
        </w:tc>
        <w:tc>
          <w:tcPr>
            <w:tcW w:type="dxa" w:w="3240"/>
            <w:vAlign w:val="center"/>
          </w:tcPr>
          <w:p>
            <w:pPr>
              <w:spacing w:after="0"/>
            </w:pPr>
            <w:r/>
            <w:r>
              <w:rPr>
                <w:rFonts w:ascii="Arial" w:hAnsi="Arial"/>
                <w:b w:val="0"/>
                <w:sz w:val="16"/>
              </w:rPr>
              <w:t>Investigates stakeholders, dependencies, conflicts, failures and functional/non-functional requirements.</w:t>
            </w:r>
          </w:p>
        </w:tc>
        <w:tc>
          <w:tcPr>
            <w:tcW w:type="dxa" w:w="3960"/>
            <w:vAlign w:val="center"/>
          </w:tcPr>
          <w:p>
            <w:pPr>
              <w:spacing w:after="0"/>
            </w:pPr>
            <w:r/>
            <w:r>
              <w:rPr>
                <w:rFonts w:ascii="Arial" w:hAnsi="Arial"/>
                <w:b w:val="0"/>
                <w:sz w:val="16"/>
              </w:rPr>
              <w:t>Receives case evidence and stakeholder input; produces requirements and recorded assumptions.</w:t>
            </w:r>
          </w:p>
        </w:tc>
        <w:tc>
          <w:tcPr>
            <w:tcW w:type="dxa" w:w="1872"/>
            <w:vAlign w:val="center"/>
          </w:tcPr>
          <w:p>
            <w:pPr>
              <w:spacing w:after="0"/>
            </w:pPr>
            <w:r/>
            <w:r>
              <w:rPr>
                <w:rFonts w:ascii="Arial" w:hAnsi="Arial"/>
                <w:b w:val="0"/>
                <w:sz w:val="16"/>
              </w:rPr>
              <w:t>Management / administrative</w:t>
            </w:r>
          </w:p>
        </w:tc>
      </w:tr>
      <w:tr>
        <w:trPr>
          <w:cantSplit/>
        </w:trPr>
        <w:tc>
          <w:tcPr>
            <w:tcW w:type="dxa" w:w="2448"/>
            <w:vAlign w:val="center"/>
          </w:tcPr>
          <w:p>
            <w:pPr>
              <w:spacing w:after="0"/>
            </w:pPr>
            <w:r/>
            <w:r>
              <w:rPr>
                <w:rFonts w:ascii="Arial" w:hAnsi="Arial"/>
                <w:b w:val="0"/>
                <w:sz w:val="16"/>
              </w:rPr>
              <w:t>External scheduling service</w:t>
            </w:r>
          </w:p>
        </w:tc>
        <w:tc>
          <w:tcPr>
            <w:tcW w:type="dxa" w:w="2880"/>
            <w:vAlign w:val="center"/>
          </w:tcPr>
          <w:p>
            <w:pPr>
              <w:spacing w:after="0"/>
            </w:pPr>
            <w:r/>
            <w:r>
              <w:rPr>
                <w:rFonts w:ascii="Arial" w:hAnsi="Arial"/>
                <w:b w:val="0"/>
                <w:sz w:val="16"/>
              </w:rPr>
              <w:t>Accurate appointment availability and integration.</w:t>
            </w:r>
          </w:p>
        </w:tc>
        <w:tc>
          <w:tcPr>
            <w:tcW w:type="dxa" w:w="3240"/>
            <w:vAlign w:val="center"/>
          </w:tcPr>
          <w:p>
            <w:pPr>
              <w:spacing w:after="0"/>
            </w:pPr>
            <w:r/>
            <w:r>
              <w:rPr>
                <w:rFonts w:ascii="Arial" w:hAnsi="Arial"/>
                <w:b w:val="0"/>
                <w:sz w:val="16"/>
              </w:rPr>
              <w:t>Provides availability and supports scheduling transactions.</w:t>
            </w:r>
          </w:p>
        </w:tc>
        <w:tc>
          <w:tcPr>
            <w:tcW w:type="dxa" w:w="3960"/>
            <w:vAlign w:val="center"/>
          </w:tcPr>
          <w:p>
            <w:pPr>
              <w:spacing w:after="0"/>
            </w:pPr>
            <w:r/>
            <w:r>
              <w:rPr>
                <w:rFonts w:ascii="Arial" w:hAnsi="Arial"/>
                <w:b w:val="0"/>
                <w:sz w:val="16"/>
              </w:rPr>
              <w:t>Receives appointment search/booking requests; returns availability and booking outcomes.</w:t>
            </w:r>
          </w:p>
        </w:tc>
        <w:tc>
          <w:tcPr>
            <w:tcW w:type="dxa" w:w="1872"/>
            <w:vAlign w:val="center"/>
          </w:tcPr>
          <w:p>
            <w:pPr>
              <w:spacing w:after="0"/>
            </w:pPr>
            <w:r/>
            <w:r>
              <w:rPr>
                <w:rFonts w:ascii="Arial" w:hAnsi="Arial"/>
                <w:b w:val="0"/>
                <w:sz w:val="16"/>
              </w:rPr>
              <w:t>External</w:t>
            </w:r>
          </w:p>
        </w:tc>
      </w:tr>
      <w:tr>
        <w:trPr>
          <w:cantSplit/>
        </w:trPr>
        <w:tc>
          <w:tcPr>
            <w:tcW w:type="dxa" w:w="2448"/>
            <w:vAlign w:val="center"/>
          </w:tcPr>
          <w:p>
            <w:pPr>
              <w:spacing w:after="0"/>
            </w:pPr>
            <w:r/>
            <w:r>
              <w:rPr>
                <w:rFonts w:ascii="Arial" w:hAnsi="Arial"/>
                <w:b w:val="0"/>
                <w:sz w:val="16"/>
              </w:rPr>
              <w:t>External correspondence service / approved communication channels</w:t>
            </w:r>
          </w:p>
        </w:tc>
        <w:tc>
          <w:tcPr>
            <w:tcW w:type="dxa" w:w="2880"/>
            <w:vAlign w:val="center"/>
          </w:tcPr>
          <w:p>
            <w:pPr>
              <w:spacing w:after="0"/>
            </w:pPr>
            <w:r/>
            <w:r>
              <w:rPr>
                <w:rFonts w:ascii="Arial" w:hAnsi="Arial"/>
                <w:b w:val="0"/>
                <w:sz w:val="16"/>
              </w:rPr>
              <w:t>Reliable delivery of patient and recipient correspondence.</w:t>
            </w:r>
          </w:p>
        </w:tc>
        <w:tc>
          <w:tcPr>
            <w:tcW w:type="dxa" w:w="3240"/>
            <w:vAlign w:val="center"/>
          </w:tcPr>
          <w:p>
            <w:pPr>
              <w:spacing w:after="0"/>
            </w:pPr>
            <w:r/>
            <w:r>
              <w:rPr>
                <w:rFonts w:ascii="Arial" w:hAnsi="Arial"/>
                <w:b w:val="0"/>
                <w:sz w:val="16"/>
              </w:rPr>
              <w:t>Distributes letters and appointment communication through approved channels.</w:t>
            </w:r>
          </w:p>
        </w:tc>
        <w:tc>
          <w:tcPr>
            <w:tcW w:type="dxa" w:w="3960"/>
            <w:vAlign w:val="center"/>
          </w:tcPr>
          <w:p>
            <w:pPr>
              <w:spacing w:after="0"/>
            </w:pPr>
            <w:r/>
            <w:r>
              <w:rPr>
                <w:rFonts w:ascii="Arial" w:hAnsi="Arial"/>
                <w:b w:val="0"/>
                <w:sz w:val="16"/>
              </w:rPr>
              <w:t>Receives correspondence for distribution; returns or supports distribution status where available.</w:t>
            </w:r>
          </w:p>
        </w:tc>
        <w:tc>
          <w:tcPr>
            <w:tcW w:type="dxa" w:w="1872"/>
            <w:vAlign w:val="center"/>
          </w:tcPr>
          <w:p>
            <w:pPr>
              <w:spacing w:after="0"/>
            </w:pPr>
            <w:r/>
            <w:r>
              <w:rPr>
                <w:rFonts w:ascii="Arial" w:hAnsi="Arial"/>
                <w:b w:val="0"/>
                <w:sz w:val="16"/>
              </w:rPr>
              <w:t>External / patient-facing</w:t>
            </w:r>
          </w:p>
        </w:tc>
      </w:tr>
      <w:tr>
        <w:trPr>
          <w:cantSplit/>
        </w:trPr>
        <w:tc>
          <w:tcPr>
            <w:tcW w:type="dxa" w:w="2448"/>
            <w:vAlign w:val="center"/>
          </w:tcPr>
          <w:p>
            <w:pPr>
              <w:spacing w:after="0"/>
            </w:pPr>
            <w:r/>
            <w:r>
              <w:rPr>
                <w:rFonts w:ascii="Arial" w:hAnsi="Arial"/>
                <w:b w:val="0"/>
                <w:sz w:val="16"/>
              </w:rPr>
              <w:t>External treatment, laboratory and imaging services</w:t>
            </w:r>
          </w:p>
        </w:tc>
        <w:tc>
          <w:tcPr>
            <w:tcW w:type="dxa" w:w="2880"/>
            <w:vAlign w:val="center"/>
          </w:tcPr>
          <w:p>
            <w:pPr>
              <w:spacing w:after="0"/>
            </w:pPr>
            <w:r/>
            <w:r>
              <w:rPr>
                <w:rFonts w:ascii="Arial" w:hAnsi="Arial"/>
                <w:b w:val="0"/>
                <w:sz w:val="16"/>
              </w:rPr>
              <w:t>Available, correctly coordinated treatment and diagnostic services.</w:t>
            </w:r>
          </w:p>
        </w:tc>
        <w:tc>
          <w:tcPr>
            <w:tcW w:type="dxa" w:w="3240"/>
            <w:vAlign w:val="center"/>
          </w:tcPr>
          <w:p>
            <w:pPr>
              <w:spacing w:after="0"/>
            </w:pPr>
            <w:r/>
            <w:r>
              <w:rPr>
                <w:rFonts w:ascii="Arial" w:hAnsi="Arial"/>
                <w:b w:val="0"/>
                <w:sz w:val="16"/>
              </w:rPr>
              <w:t>Provide service availability and, for clinical work, relevant results or service support.</w:t>
            </w:r>
          </w:p>
        </w:tc>
        <w:tc>
          <w:tcPr>
            <w:tcW w:type="dxa" w:w="3960"/>
            <w:vAlign w:val="center"/>
          </w:tcPr>
          <w:p>
            <w:pPr>
              <w:spacing w:after="0"/>
            </w:pPr>
            <w:r/>
            <w:r>
              <w:rPr>
                <w:rFonts w:ascii="Arial" w:hAnsi="Arial"/>
                <w:b w:val="0"/>
                <w:sz w:val="16"/>
              </w:rPr>
              <w:t>Receive booking requests; provide availability and relevant external-service information.</w:t>
            </w:r>
          </w:p>
        </w:tc>
        <w:tc>
          <w:tcPr>
            <w:tcW w:type="dxa" w:w="1872"/>
            <w:vAlign w:val="center"/>
          </w:tcPr>
          <w:p>
            <w:pPr>
              <w:spacing w:after="0"/>
            </w:pPr>
            <w:r/>
            <w:r>
              <w:rPr>
                <w:rFonts w:ascii="Arial" w:hAnsi="Arial"/>
                <w:b w:val="0"/>
                <w:sz w:val="16"/>
              </w:rPr>
              <w:t>External / clinical</w:t>
            </w:r>
          </w:p>
        </w:tc>
      </w:tr>
      <w:tr>
        <w:trPr>
          <w:cantSplit/>
        </w:trPr>
        <w:tc>
          <w:tcPr>
            <w:tcW w:type="dxa" w:w="2448"/>
            <w:vAlign w:val="center"/>
          </w:tcPr>
          <w:p>
            <w:pPr>
              <w:spacing w:after="0"/>
            </w:pPr>
            <w:r/>
            <w:r>
              <w:rPr>
                <w:rFonts w:ascii="Arial" w:hAnsi="Arial"/>
                <w:b w:val="0"/>
                <w:sz w:val="16"/>
              </w:rPr>
              <w:t>Funding organisation or insurer</w:t>
            </w:r>
          </w:p>
        </w:tc>
        <w:tc>
          <w:tcPr>
            <w:tcW w:type="dxa" w:w="2880"/>
            <w:vAlign w:val="center"/>
          </w:tcPr>
          <w:p>
            <w:pPr>
              <w:spacing w:after="0"/>
            </w:pPr>
            <w:r/>
            <w:r>
              <w:rPr>
                <w:rFonts w:ascii="Arial" w:hAnsi="Arial"/>
                <w:b w:val="0"/>
                <w:sz w:val="16"/>
              </w:rPr>
              <w:t>Authorised funding within coverage limits.</w:t>
            </w:r>
          </w:p>
        </w:tc>
        <w:tc>
          <w:tcPr>
            <w:tcW w:type="dxa" w:w="3240"/>
            <w:vAlign w:val="center"/>
          </w:tcPr>
          <w:p>
            <w:pPr>
              <w:spacing w:after="0"/>
            </w:pPr>
            <w:r/>
            <w:r>
              <w:rPr>
                <w:rFonts w:ascii="Arial" w:hAnsi="Arial"/>
                <w:b w:val="0"/>
                <w:sz w:val="16"/>
              </w:rPr>
              <w:t>Approves or declines funding according to its arrangements.</w:t>
            </w:r>
          </w:p>
        </w:tc>
        <w:tc>
          <w:tcPr>
            <w:tcW w:type="dxa" w:w="3960"/>
            <w:vAlign w:val="center"/>
          </w:tcPr>
          <w:p>
            <w:pPr>
              <w:spacing w:after="0"/>
            </w:pPr>
            <w:r/>
            <w:r>
              <w:rPr>
                <w:rFonts w:ascii="Arial" w:hAnsi="Arial"/>
                <w:b w:val="0"/>
                <w:sz w:val="16"/>
              </w:rPr>
              <w:t>Receives funding request information; provides organisation, reference, amount and limitations.</w:t>
            </w:r>
          </w:p>
        </w:tc>
        <w:tc>
          <w:tcPr>
            <w:tcW w:type="dxa" w:w="1872"/>
            <w:vAlign w:val="center"/>
          </w:tcPr>
          <w:p>
            <w:pPr>
              <w:spacing w:after="0"/>
            </w:pPr>
            <w:r/>
            <w:r>
              <w:rPr>
                <w:rFonts w:ascii="Arial" w:hAnsi="Arial"/>
                <w:b w:val="0"/>
                <w:sz w:val="16"/>
              </w:rPr>
              <w:t>External / financial</w:t>
            </w:r>
          </w:p>
        </w:tc>
      </w:tr>
      <w:tr>
        <w:trPr>
          <w:cantSplit/>
        </w:trPr>
        <w:tc>
          <w:tcPr>
            <w:tcW w:type="dxa" w:w="2448"/>
            <w:vAlign w:val="center"/>
          </w:tcPr>
          <w:p>
            <w:pPr>
              <w:spacing w:after="0"/>
            </w:pPr>
            <w:r/>
            <w:r>
              <w:rPr>
                <w:rFonts w:ascii="Arial" w:hAnsi="Arial"/>
                <w:b w:val="0"/>
                <w:sz w:val="16"/>
              </w:rPr>
              <w:t>External Payment Service Provider (PSP)</w:t>
            </w:r>
          </w:p>
        </w:tc>
        <w:tc>
          <w:tcPr>
            <w:tcW w:type="dxa" w:w="2880"/>
            <w:vAlign w:val="center"/>
          </w:tcPr>
          <w:p>
            <w:pPr>
              <w:spacing w:after="0"/>
            </w:pPr>
            <w:r/>
            <w:r>
              <w:rPr>
                <w:rFonts w:ascii="Arial" w:hAnsi="Arial"/>
                <w:b w:val="0"/>
                <w:sz w:val="16"/>
              </w:rPr>
              <w:t>Secure, accurate payment processing.</w:t>
            </w:r>
          </w:p>
        </w:tc>
        <w:tc>
          <w:tcPr>
            <w:tcW w:type="dxa" w:w="3240"/>
            <w:vAlign w:val="center"/>
          </w:tcPr>
          <w:p>
            <w:pPr>
              <w:spacing w:after="0"/>
            </w:pPr>
            <w:r/>
            <w:r>
              <w:rPr>
                <w:rFonts w:ascii="Arial" w:hAnsi="Arial"/>
                <w:b w:val="0"/>
                <w:sz w:val="16"/>
              </w:rPr>
              <w:t>Processes payment and approved refund transactions; returns transaction results.</w:t>
            </w:r>
          </w:p>
        </w:tc>
        <w:tc>
          <w:tcPr>
            <w:tcW w:type="dxa" w:w="3960"/>
            <w:vAlign w:val="center"/>
          </w:tcPr>
          <w:p>
            <w:pPr>
              <w:spacing w:after="0"/>
            </w:pPr>
            <w:r/>
            <w:r>
              <w:rPr>
                <w:rFonts w:ascii="Arial" w:hAnsi="Arial"/>
                <w:b w:val="0"/>
                <w:sz w:val="16"/>
              </w:rPr>
              <w:t>Receives secure payment/refund requests; returns status, reference, date and amount.</w:t>
            </w:r>
          </w:p>
        </w:tc>
        <w:tc>
          <w:tcPr>
            <w:tcW w:type="dxa" w:w="1872"/>
            <w:vAlign w:val="center"/>
          </w:tcPr>
          <w:p>
            <w:pPr>
              <w:spacing w:after="0"/>
            </w:pPr>
            <w:r/>
            <w:r>
              <w:rPr>
                <w:rFonts w:ascii="Arial" w:hAnsi="Arial"/>
                <w:b w:val="0"/>
                <w:sz w:val="16"/>
              </w:rPr>
              <w:t>External / financial</w:t>
            </w:r>
          </w:p>
        </w:tc>
      </w:tr>
      <w:tr>
        <w:trPr>
          <w:cantSplit/>
        </w:trPr>
        <w:tc>
          <w:tcPr>
            <w:tcW w:type="dxa" w:w="2448"/>
            <w:vAlign w:val="center"/>
          </w:tcPr>
          <w:p>
            <w:pPr>
              <w:spacing w:after="0"/>
            </w:pPr>
            <w:r/>
            <w:r>
              <w:rPr>
                <w:rFonts w:ascii="Arial" w:hAnsi="Arial"/>
                <w:b w:val="0"/>
                <w:sz w:val="16"/>
              </w:rPr>
              <w:t>Authorised representative or support person</w:t>
            </w:r>
          </w:p>
        </w:tc>
        <w:tc>
          <w:tcPr>
            <w:tcW w:type="dxa" w:w="2880"/>
            <w:vAlign w:val="center"/>
          </w:tcPr>
          <w:p>
            <w:pPr>
              <w:spacing w:after="0"/>
            </w:pPr>
            <w:r/>
            <w:r>
              <w:rPr>
                <w:rFonts w:ascii="Arial" w:hAnsi="Arial"/>
                <w:b w:val="0"/>
                <w:sz w:val="16"/>
              </w:rPr>
              <w:t>Accessible communication and support when authorised by the patient.</w:t>
            </w:r>
          </w:p>
        </w:tc>
        <w:tc>
          <w:tcPr>
            <w:tcW w:type="dxa" w:w="3240"/>
            <w:vAlign w:val="center"/>
          </w:tcPr>
          <w:p>
            <w:pPr>
              <w:spacing w:after="0"/>
            </w:pPr>
            <w:r/>
            <w:r>
              <w:rPr>
                <w:rFonts w:ascii="Arial" w:hAnsi="Arial"/>
                <w:b w:val="0"/>
                <w:sz w:val="16"/>
              </w:rPr>
              <w:t>May assist communication where authorised.</w:t>
            </w:r>
          </w:p>
        </w:tc>
        <w:tc>
          <w:tcPr>
            <w:tcW w:type="dxa" w:w="3960"/>
            <w:vAlign w:val="center"/>
          </w:tcPr>
          <w:p>
            <w:pPr>
              <w:spacing w:after="0"/>
            </w:pPr>
            <w:r/>
            <w:r>
              <w:rPr>
                <w:rFonts w:ascii="Arial" w:hAnsi="Arial"/>
                <w:b w:val="0"/>
                <w:sz w:val="16"/>
              </w:rPr>
              <w:t>May receive permitted communication or provide assistance; authority scope is not specified.</w:t>
            </w:r>
          </w:p>
        </w:tc>
        <w:tc>
          <w:tcPr>
            <w:tcW w:type="dxa" w:w="1872"/>
            <w:vAlign w:val="center"/>
          </w:tcPr>
          <w:p>
            <w:pPr>
              <w:spacing w:after="0"/>
            </w:pPr>
            <w:r/>
            <w:r>
              <w:rPr>
                <w:rFonts w:ascii="Arial" w:hAnsi="Arial"/>
                <w:b w:val="0"/>
                <w:sz w:val="16"/>
              </w:rPr>
              <w:t>External / patient-facing</w:t>
            </w:r>
          </w:p>
        </w:tc>
      </w:tr>
      <w:tr>
        <w:trPr>
          <w:cantSplit/>
        </w:trPr>
        <w:tc>
          <w:tcPr>
            <w:tcW w:type="dxa" w:w="2448"/>
            <w:vAlign w:val="center"/>
          </w:tcPr>
          <w:p>
            <w:pPr>
              <w:spacing w:after="0"/>
            </w:pPr>
            <w:r/>
            <w:r>
              <w:rPr>
                <w:rFonts w:ascii="Arial" w:hAnsi="Arial"/>
                <w:b w:val="0"/>
                <w:sz w:val="16"/>
              </w:rPr>
              <w:t>System administrators / authorised audit users</w:t>
            </w:r>
          </w:p>
        </w:tc>
        <w:tc>
          <w:tcPr>
            <w:tcW w:type="dxa" w:w="2880"/>
            <w:vAlign w:val="center"/>
          </w:tcPr>
          <w:p>
            <w:pPr>
              <w:spacing w:after="0"/>
            </w:pPr>
            <w:r/>
            <w:r>
              <w:rPr>
                <w:rFonts w:ascii="Arial" w:hAnsi="Arial"/>
                <w:b w:val="0"/>
                <w:sz w:val="16"/>
              </w:rPr>
              <w:t>Secure, available and accountable system operation.</w:t>
            </w:r>
          </w:p>
        </w:tc>
        <w:tc>
          <w:tcPr>
            <w:tcW w:type="dxa" w:w="3240"/>
            <w:vAlign w:val="center"/>
          </w:tcPr>
          <w:p>
            <w:pPr>
              <w:spacing w:after="0"/>
            </w:pPr>
            <w:r/>
            <w:r>
              <w:rPr>
                <w:rFonts w:ascii="Arial" w:hAnsi="Arial"/>
                <w:b w:val="0"/>
                <w:sz w:val="16"/>
              </w:rPr>
              <w:t>Manage controlled access and, where authorised, audit/admin functions; ordinary users cannot edit audit records.</w:t>
            </w:r>
          </w:p>
        </w:tc>
        <w:tc>
          <w:tcPr>
            <w:tcW w:type="dxa" w:w="3960"/>
            <w:vAlign w:val="center"/>
          </w:tcPr>
          <w:p>
            <w:pPr>
              <w:spacing w:after="0"/>
            </w:pPr>
            <w:r/>
            <w:r>
              <w:rPr>
                <w:rFonts w:ascii="Arial" w:hAnsi="Arial"/>
                <w:b w:val="0"/>
                <w:sz w:val="16"/>
              </w:rPr>
              <w:t>Receive access/audit requirements and system events; provide authorised access administration.</w:t>
            </w:r>
          </w:p>
        </w:tc>
        <w:tc>
          <w:tcPr>
            <w:tcW w:type="dxa" w:w="1872"/>
            <w:vAlign w:val="center"/>
          </w:tcPr>
          <w:p>
            <w:pPr>
              <w:spacing w:after="0"/>
            </w:pPr>
            <w:r/>
            <w:r>
              <w:rPr>
                <w:rFonts w:ascii="Arial" w:hAnsi="Arial"/>
                <w:b w:val="0"/>
                <w:sz w:val="16"/>
              </w:rPr>
              <w:t>Management / administrative</w:t>
            </w:r>
          </w:p>
        </w:tc>
      </w:tr>
    </w:tbl>
    <w:p/>
    <w:p>
      <w:pPr>
        <w:pStyle w:val="Heading1"/>
      </w:pPr>
      <w:r>
        <w:t>3. All Major Business Processes</w:t>
      </w:r>
    </w:p>
    <w:p>
      <w:r>
        <w:t>The processes below are separated where the case assigns different triggers, decision rights, controls or external dependencies. They should be modelled as connected processes rather than as one undifferentiated patient journey.</w:t>
      </w:r>
    </w:p>
    <w:p>
      <w:pPr>
        <w:pStyle w:val="Heading2"/>
      </w:pPr>
      <w:r>
        <w:t>1. Referral receipt and completeness checking</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A GP, hospital or other provider sends a new referral.</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Medical Secretaries register the referral, check for expected supporting documents, identify omissions and request missing information from the referring organisation.</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referral, clinic letters, investigation results, diagnostic reports and other relevant documents. Outputs: referral record, completeness status, missing-information request or referral ready for clinical review.</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Medical Secretaries</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Referring organisation; Consultant.</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Secretaries may check documents and request information, but must not assess clinical suitability or accept/reject a referral.</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referral source and document receipt; feeds referral clinical review.</w:t>
            </w:r>
          </w:p>
        </w:tc>
      </w:tr>
    </w:tbl>
    <w:p/>
    <w:p>
      <w:pPr>
        <w:pStyle w:val="Heading2"/>
      </w:pPr>
      <w:r>
        <w:t>2. Referral clinical review and decision</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A checked referral with available documents is sent to the appropriate Consultant.</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Consultant reviews clinical information and accepts, rejects, requests further information or redirects to another specialist service; the decision, reason and decision maker are recorded.</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referral and available supporting evidence. Outputs: authorised referral decision, reason, decision maker, and if accepted an authorised basis for booking.</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Authorised Consultant</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Medical Secretaries; referring organisation; redirected specialist service.</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Only an authorised Consultant may make the clinical decision. No new-patient appointment may be arranged before acceptance.</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receipt/completeness checking; triggers missing-information handling, redirection, or appointment booking.</w:t>
            </w:r>
          </w:p>
        </w:tc>
      </w:tr>
    </w:tbl>
    <w:p/>
    <w:p>
      <w:pPr>
        <w:pStyle w:val="Heading2"/>
      </w:pPr>
      <w:r>
        <w:t>3. New patient appointment booking and communication</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An authorised Consultant accepts the referral.</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Outpatient Bookings Team receives speciality, priority, timeframe and requirements; searches the external scheduling service; confirms the booking in the hospital system; sends a letter through correspondence service and telephones if within two weeks.</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authorised acceptance and booking request. Outputs: confirmed appointment or recorded exception; correspondence and contact records.</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Outpatient Bookings Team</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Consultant; Medical Secretaries; Call Handling Team; external scheduling and correspondence services; patient.</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Booking must follow authorised acceptance. Appointment within two weeks requires telephone contact as well as normal letter communication.</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referral decision and external scheduling; triggers contact-attempt/change handling and New Patient Appointment.</w:t>
            </w:r>
          </w:p>
        </w:tc>
      </w:tr>
    </w:tbl>
    <w:p/>
    <w:p>
      <w:pPr>
        <w:pStyle w:val="Heading2"/>
      </w:pPr>
      <w:r>
        <w:t>4. Patient contact attempt recording and appointment change handling</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A telephone call is required, is attempted, or a patient asks for an alternative appointment.</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Record each attempt and outcome; identify unanswered calls or incorrect details; handle alternative-date request; update or refer booking as appropriate.</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appointment, patient contact details and contact result/request. Outputs: contact-attempt record, updated contact details if verified, alternative booking request or unresolved contact exception.</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Outpatient Bookings Team</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Patient; Call Handling Team; external scheduling service; Patient Pathway Coordinators.</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Every contact attempt and outcome must be recorded. The case does not define the number or spacing of retries.</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appointment booking and scheduling availability; may trigger rescheduling or pathway escalation.</w:t>
            </w:r>
          </w:p>
        </w:tc>
      </w:tr>
    </w:tbl>
    <w:p/>
    <w:p>
      <w:pPr>
        <w:pStyle w:val="Heading2"/>
      </w:pPr>
      <w:r>
        <w:t>5. New patient consultation, diagnosis, consent and authorised treatment request</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Patient attends the New Patient Appointment.</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Consultant and clinical team assess the patient, discuss diagnosis and treatment options. If the patient agrees, consent is recorded and an authorised Treatment Booking Request specifies treatment, start date, cycles, frequency, reviews and resources.</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appointment, clinical assessment and patient decision. Outputs: clinical record, consent record and authorised Treatment Booking Request, or no treatment request.</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Consultant</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Relevant clinical team; patient.</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Administrative staff must not process an incomplete or unauthorised treatment request.</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New Patient Appointment; triggers treatment booking, funding and, where required, payment.</w:t>
            </w:r>
          </w:p>
        </w:tc>
      </w:tr>
    </w:tbl>
    <w:p/>
    <w:p>
      <w:pPr>
        <w:pStyle w:val="Heading2"/>
      </w:pPr>
      <w:r>
        <w:t>6. Treatment or chemotherapy booking</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Treatment and Chemotherapy Bookings Team receives an authorised Treatment Booking Request.</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Check authorisation, coordinate hospital appointments, request external availability where needed and record confirmed or pending booking outcomes.</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authorised treatment request, dates, cycles, frequency, review requirements and resource needs. Outputs: treatment appointment schedule or pending-booking record.</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Treatment and Chemotherapy Bookings Team</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Consultant/authorised clinician; external treatment, laboratory, imaging and scheduling services; Finance Team.</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No processing of an unauthorised request. Bookings must not be duplicated.</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authorised clinical request, external availability and funding/payment status before confirmation where advance payment applies.</w:t>
            </w:r>
          </w:p>
        </w:tc>
      </w:tr>
    </w:tbl>
    <w:p/>
    <w:p>
      <w:pPr>
        <w:pStyle w:val="Heading2"/>
      </w:pPr>
      <w:r>
        <w:t>7. External service availability and pending booking handling</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A treatment booking requires an external treatment, laboratory, imaging or scheduling service, or such service is temporarily unavailable.</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Request availability; retain booking as pending while unavailable; notify responsible team; record further attempts; confirm only when appropriate availability is obtained.</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authorised booking requirement and external availability response/failure. Outputs: availability outcome, pending queue, notification and attempt history, or confirmed non-duplicate appointment.</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Treatment and Chemotherapy Bookings Team</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External services; Outpatient Bookings Team where scheduling is relevant; Patient Pathway Coordinators.</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Temporary unavailability must not create duplicate appointments. Attempts and notifications must be recorded.</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external services; supports treatment booking and management reporting.</w:t>
            </w:r>
          </w:p>
        </w:tc>
      </w:tr>
    </w:tbl>
    <w:p/>
    <w:p>
      <w:pPr>
        <w:pStyle w:val="Heading2"/>
      </w:pPr>
      <w:r>
        <w:t>8. Funding approval and financial checks</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Treatment is being considered for confirmation and the funding route must be determined.</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Determine hospital funding, approved insurer/funder coverage, or patient payment requirement. Record funding organisation, authorisation reference, approved amount and limitations when approval is needed.</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treatment request, patient funding arrangement and funder response. Outputs: funding decision/record, limitations and payment requirement or exemption basis.</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Finance Team</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Funding organisation/insurer; patient; Treatment Bookings Team; clinical staff for treatment information only.</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Finance decides funding, not clinical necessity. Funding information must be linked to the patient and treatment.</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authorised treatment request and external funder; feeds payment/confirmation decision.</w:t>
            </w:r>
          </w:p>
        </w:tc>
      </w:tr>
    </w:tbl>
    <w:p/>
    <w:p>
      <w:pPr>
        <w:pStyle w:val="Heading2"/>
      </w:pPr>
      <w:r>
        <w:t>9. Payment request and payment confirmation</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Finance identifies that a charge is required.</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Calculate or obtain charge; send secure request to PSP; accept payment online, by telephone with authorised Finance member or approved channel; receive and record status, reference, date and amount.</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charge, patient account, funding/exemption information and approved payment channel. Outputs: payment request, payment status and transaction record.</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Finance Team</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Patient; External PSP; Treatment Bookings Team.</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Do not store complete card information or unnecessary financial details. Advance-payment appointment normally cannot be confirmed until payment, exemption, funding approval or arrangement is recorded.</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financial check and PSP; supports treatment appointment confirmation.</w:t>
            </w:r>
          </w:p>
        </w:tc>
      </w:tr>
    </w:tbl>
    <w:p/>
    <w:p>
      <w:pPr>
        <w:pStyle w:val="Heading2"/>
      </w:pPr>
      <w:r>
        <w:t>10. Payment exception handling</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Payment is declined, cancelled, duplicated, incomplete, or PSP confirmation is missing after a successful charge.</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Notify patient and responsible administration team; allow a further payment attempt without duplicate booking/charge; mark missing-confirmation transaction for investigation rather than charge again; record authorised urgent clinical treatment and refer to Finance.</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payment status, transaction reference, booking and urgent clinical justification where applicable. Outputs: exception case, notification, investigation record, resolved status or authorised urgent-treatment record.</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Finance Team</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External PSP; patient; Treatment Bookings Team; authorised clinical staff.</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Do not automatically request a second payment when provider confirmation is absent. Urgent care without confirmed payment requires recorded clinical justification and Finance follow-up.</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PSP transaction response/failure and, for urgent exception, clinical authorisation.</w:t>
            </w:r>
          </w:p>
        </w:tc>
      </w:tr>
    </w:tbl>
    <w:p/>
    <w:p>
      <w:pPr>
        <w:pStyle w:val="Heading2"/>
      </w:pPr>
      <w:r>
        <w:t>11. Refund assessment and processing</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A paid treatment is cancelled, postponed or changed and a financial adjustment may be required.</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Authorised Finance member assesses full or partial refund; sends approved request to PSP; records result against patient account.</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cancellation/postponement/change, payment transaction, funding and relevant clinical information. Outputs: refund decision, PSP refund request and refund result.</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Authorised Finance Team member</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External PSP; Treatment Bookings Team; clinical staff.</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Finance decides refunds. Clinical staff may provide treatment information but must not approve refunds without financial authority; Finance must not decide clinical necessity.</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payment record, appointment/treatment change and PSP.</w:t>
            </w:r>
          </w:p>
        </w:tc>
      </w:tr>
    </w:tbl>
    <w:p/>
    <w:p>
      <w:pPr>
        <w:pStyle w:val="Heading2"/>
      </w:pPr>
      <w:r>
        <w:t>12. Treatment-cycle clinical review and treatment modification</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Before a subsequent chemotherapy cycle, clinical review/blood test occurs; or a clinician proposes a schedule change.</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Clinical team assesses fitness and results; decides continue, delay or change plan. An authorised Treatment Modification Request is submitted. Urgent postponement may occur for safety, followed by clinician record and authorisation. Refer financial impacts to Finance.</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treatment plan, review and blood-test results, clinical assessment. Outputs: clinical decision, authorised modification request, urgent safety record and Finance referral if affected.</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Authorised clinical professional</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Clinical team; Treatment/Chemotherapy Bookings Team; Finance Team.</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Only clinical professionals make treatment or change decisions. Informal email/telephone requests must not be processed. Urgent postponement requires subsequent formal clinical record and authority.</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clinical review/results; triggers amended treatment booking and, if applicable, financial review.</w:t>
            </w:r>
          </w:p>
        </w:tc>
      </w:tr>
    </w:tbl>
    <w:p/>
    <w:p>
      <w:pPr>
        <w:pStyle w:val="Heading2"/>
      </w:pPr>
      <w:r>
        <w:t>13. Patient enquiry recording, classification and routing</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Patient contacts CNS Team or Call Handling Team.</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Record enquiry, classify as administrative, financial or clinical, assign priority, route to responsible team, record response and resolution. Call handlers answer only straightforward authorised administrative questions.</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enquiry, patient identity and contact details. Outputs: enquiry record with received time, handler, category, priority, assignee, response and resolution status.</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Call Handling Team for general hospital contacts; CNS Team for clinical contacts received directly.</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Patient; Finance Team; CNS Team; authorised clinical professionals; administrative teams.</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Call handlers must not diagnose, interpret results, recommend treatment or give clinical advice. Urgent clinical concerns are highlighted immediately, but the full urgency rules are not agreed.</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routing information and authorised team access; feeds unresolved-enquiry reporting.</w:t>
            </w:r>
          </w:p>
        </w:tc>
      </w:tr>
    </w:tbl>
    <w:p/>
    <w:p>
      <w:pPr>
        <w:pStyle w:val="Heading2"/>
      </w:pPr>
      <w:r>
        <w:t>14. Clinic Letter preparation, approval and distribution</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A consultation has taken place.</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Consultant prepares Clinic Letter/New Patient Clinic Letter with clinical content and recipients; approves it. Medical Secretaries check administration, confirm recipients and distribute through approved channels; suspected clinical errors return to Consultant.</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consultation findings, diagnosis, decisions, follow-up arrangements, instructions and recipients. Outputs: approved letter, administrative processing record and distribution record.</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Consultant for clinical content and approval; Medical Secretaries for processing/distribution.</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Patient; GP; other hospital/provider; correspondence service.</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Only Consultant approval permits distribution. Secretaries may correct format/clear administrative errors but must not change clinical meaning. Target: complete, approve, process and send within seven days; recipients normally receive within about two weeks.</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consultation and approved communication channels; triggers reminder/escalation process if delayed.</w:t>
            </w:r>
          </w:p>
        </w:tc>
      </w:tr>
    </w:tbl>
    <w:p/>
    <w:p>
      <w:pPr>
        <w:pStyle w:val="Heading2"/>
      </w:pPr>
      <w:r>
        <w:t>15. Clinic Letter reminders, delay monitoring and escalation</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A letter remains incomplete or unapproved after the relevant appointment.</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Monitor status; Patient Pathway Coordinators issue weekly reminders; valid delay reasons are recorded; escalate after more than one month to Administrative Manager and after more than three months to higher management.</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appointment date, letter status, dates started/completed/approved/processed/distributed and prior reminders. Outputs: reminder, delay reason, escalation and complete history.</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Patient Pathway Coordinators</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Consultant; Administrative Manager; higher management team; Medical Secretaries.</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A letter incomplete/unapproved more than seven days is delayed. Avoid unnecessary repeated reminders after completion. Retain complete reminder/response/escalation history.</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clinic-letter records and audit history; feeds pathway and management reporting.</w:t>
            </w:r>
          </w:p>
        </w:tc>
      </w:tr>
    </w:tbl>
    <w:p/>
    <w:p>
      <w:pPr>
        <w:pStyle w:val="Heading2"/>
      </w:pPr>
      <w:r>
        <w:t>16. Follow-up appointment booking</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Consultant or authorised clinical professional requests follow-up after consultation or treatment review.</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Send timeframe-based request to Outpatient Bookings Team; arrange via external scheduling; communicate appointment; highlight and refer any unavailable appointment within requested timeframe.</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authorised follow-up request and clinical timeframe. Outputs: booked follow-up, patient notification, or highlighted timeframe exception.</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Outpatient Bookings Team</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Authorised clinical professional; external scheduling service; patient; pathway team.</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Do not silently book outside the clinically requested timeframe when a suitable appointment cannot be found.</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authorised clinical request and external scheduling; may trigger pathway-team review.</w:t>
            </w:r>
          </w:p>
        </w:tc>
      </w:tr>
    </w:tbl>
    <w:p/>
    <w:p>
      <w:pPr>
        <w:pStyle w:val="Heading2"/>
      </w:pPr>
      <w:r>
        <w:t>17. Appointment cancellation, non-attendance and rescheduling</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Patient cancels, declines or fails to attend; or an appointment must change.</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Record event; coordinate rebooking where appropriate; refer for clinical pathway review or informing referrer as needed; refer paid cases to Finance to decide retain, transfer or refund payment.</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appointment, patient event/change and payment status. Outputs: cancellation/no-show record, rescheduled appointment, clinical-review/referrer notification or Finance case.</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Outpatient Bookings Team / relevant administrative team</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Patient; authorised clinical professional; referring organisation; Finance Team; external scheduling service.</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Administrative staff coordinate but cannot decide continued treatment, treatment delay or discharge. Paid changes require Finance decision.</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Depends on existing appointment, external scheduling and payment record; may trigger refund process.</w:t>
            </w:r>
          </w:p>
        </w:tc>
      </w:tr>
    </w:tbl>
    <w:p/>
    <w:p>
      <w:pPr>
        <w:pStyle w:val="Heading2"/>
      </w:pPr>
      <w:r>
        <w:t>18. Role-based access control, audit trail, downtime back-entry and management reporting</w:t>
      </w:r>
    </w:p>
    <w:tbl>
      <w:tblPr>
        <w:tblStyle w:val="TableGrid"/>
        <w:tblW w:type="auto" w:w="0"/>
        <w:jc w:val="center"/>
        <w:tblLayout w:type="fixed"/>
        <w:tblLook w:firstColumn="1" w:firstRow="1" w:lastColumn="0" w:lastRow="0" w:noHBand="0" w:noVBand="1" w:val="04A0"/>
      </w:tblPr>
      <w:tblGrid>
        <w:gridCol w:w="7625"/>
        <w:gridCol w:w="7625"/>
      </w:tblGrid>
      <w:tr>
        <w:trPr>
          <w:tblHeader w:val="true"/>
        </w:trPr>
        <w:tc>
          <w:tcPr>
            <w:tcW w:type="dxa" w:w="3096"/>
            <w:vAlign w:val="center"/>
            <w:shd w:fill="1F4E78"/>
          </w:tcPr>
          <w:p>
            <w:pPr>
              <w:spacing w:after="0"/>
            </w:pPr>
            <w:r/>
            <w:r>
              <w:rPr>
                <w:rFonts w:ascii="Arial" w:hAnsi="Arial"/>
                <w:b/>
                <w:color w:val="FFFFFF"/>
                <w:sz w:val="16"/>
              </w:rPr>
              <w:t>Field</w:t>
            </w:r>
          </w:p>
        </w:tc>
        <w:tc>
          <w:tcPr>
            <w:tcW w:type="dxa" w:w="12024"/>
            <w:vAlign w:val="center"/>
            <w:shd w:fill="1F4E78"/>
          </w:tcPr>
          <w:p>
            <w:pPr>
              <w:spacing w:after="0"/>
            </w:pPr>
            <w:r/>
            <w:r>
              <w:rPr>
                <w:rFonts w:ascii="Arial" w:hAnsi="Arial"/>
                <w:b/>
                <w:color w:val="FFFFFF"/>
                <w:sz w:val="16"/>
              </w:rPr>
              <w:t>Case-study analysis</w:t>
            </w:r>
          </w:p>
        </w:tc>
      </w:tr>
      <w:tr>
        <w:trPr>
          <w:cantSplit/>
        </w:trPr>
        <w:tc>
          <w:tcPr>
            <w:tcW w:type="dxa" w:w="3096"/>
            <w:vAlign w:val="center"/>
          </w:tcPr>
          <w:p>
            <w:pPr>
              <w:spacing w:after="0"/>
            </w:pPr>
            <w:r/>
            <w:r>
              <w:rPr>
                <w:rFonts w:ascii="Arial" w:hAnsi="Arial"/>
                <w:b w:val="0"/>
                <w:sz w:val="16"/>
              </w:rPr>
              <w:t>Trigger</w:t>
            </w:r>
          </w:p>
        </w:tc>
        <w:tc>
          <w:tcPr>
            <w:tcW w:type="dxa" w:w="12024"/>
            <w:vAlign w:val="center"/>
          </w:tcPr>
          <w:p>
            <w:pPr>
              <w:spacing w:after="0"/>
            </w:pPr>
            <w:r/>
            <w:r>
              <w:rPr>
                <w:rFonts w:ascii="Arial" w:hAnsi="Arial"/>
                <w:b w:val="0"/>
                <w:sz w:val="16"/>
              </w:rPr>
              <w:t>Any significant system action, external-service unavailability, or reporting cycle.</w:t>
            </w:r>
          </w:p>
        </w:tc>
      </w:tr>
      <w:tr>
        <w:trPr>
          <w:cantSplit/>
        </w:trPr>
        <w:tc>
          <w:tcPr>
            <w:tcW w:type="dxa" w:w="3096"/>
            <w:vAlign w:val="center"/>
          </w:tcPr>
          <w:p>
            <w:pPr>
              <w:spacing w:after="0"/>
            </w:pPr>
            <w:r/>
            <w:r>
              <w:rPr>
                <w:rFonts w:ascii="Arial" w:hAnsi="Arial"/>
                <w:b w:val="0"/>
                <w:sz w:val="16"/>
              </w:rPr>
              <w:t>Main activities</w:t>
            </w:r>
          </w:p>
        </w:tc>
        <w:tc>
          <w:tcPr>
            <w:tcW w:type="dxa" w:w="12024"/>
            <w:vAlign w:val="center"/>
          </w:tcPr>
          <w:p>
            <w:pPr>
              <w:spacing w:after="0"/>
            </w:pPr>
            <w:r/>
            <w:r>
              <w:rPr>
                <w:rFonts w:ascii="Arial" w:hAnsi="Arial"/>
                <w:b w:val="0"/>
                <w:sz w:val="16"/>
              </w:rPr>
              <w:t>Authenticate users; apply least-needed role access; protect external exchange; record immutable audit event; reconcile and enter activities completed during downtime through an appropriate procedure; produce pathway and management reports.</w:t>
            </w:r>
          </w:p>
        </w:tc>
      </w:tr>
      <w:tr>
        <w:trPr>
          <w:cantSplit/>
        </w:trPr>
        <w:tc>
          <w:tcPr>
            <w:tcW w:type="dxa" w:w="3096"/>
            <w:vAlign w:val="center"/>
          </w:tcPr>
          <w:p>
            <w:pPr>
              <w:spacing w:after="0"/>
            </w:pPr>
            <w:r/>
            <w:r>
              <w:rPr>
                <w:rFonts w:ascii="Arial" w:hAnsi="Arial"/>
                <w:b w:val="0"/>
                <w:sz w:val="16"/>
              </w:rPr>
              <w:t>Inputs and outputs</w:t>
            </w:r>
          </w:p>
        </w:tc>
        <w:tc>
          <w:tcPr>
            <w:tcW w:type="dxa" w:w="12024"/>
            <w:vAlign w:val="center"/>
          </w:tcPr>
          <w:p>
            <w:pPr>
              <w:spacing w:after="0"/>
            </w:pPr>
            <w:r/>
            <w:r>
              <w:rPr>
                <w:rFonts w:ascii="Arial" w:hAnsi="Arial"/>
                <w:b w:val="0"/>
                <w:sz w:val="16"/>
              </w:rPr>
              <w:t>Inputs: user actions, patient identifiers, external-service events and operational data. Outputs: access decision, audit record, controlled back-entry record and reports.</w:t>
            </w:r>
          </w:p>
        </w:tc>
      </w:tr>
      <w:tr>
        <w:trPr>
          <w:cantSplit/>
        </w:trPr>
        <w:tc>
          <w:tcPr>
            <w:tcW w:type="dxa" w:w="3096"/>
            <w:vAlign w:val="center"/>
          </w:tcPr>
          <w:p>
            <w:pPr>
              <w:spacing w:after="0"/>
            </w:pPr>
            <w:r/>
            <w:r>
              <w:rPr>
                <w:rFonts w:ascii="Arial" w:hAnsi="Arial"/>
                <w:b w:val="0"/>
                <w:sz w:val="16"/>
              </w:rPr>
              <w:t>Primary responsible role</w:t>
            </w:r>
          </w:p>
        </w:tc>
        <w:tc>
          <w:tcPr>
            <w:tcW w:type="dxa" w:w="12024"/>
            <w:vAlign w:val="center"/>
          </w:tcPr>
          <w:p>
            <w:pPr>
              <w:spacing w:after="0"/>
            </w:pPr>
            <w:r/>
            <w:r>
              <w:rPr>
                <w:rFonts w:ascii="Arial" w:hAnsi="Arial"/>
                <w:b w:val="0"/>
                <w:sz w:val="16"/>
              </w:rPr>
              <w:t>System administrators/authorised audit users for access controls; Administrative Management Team for management reporting oversight.</w:t>
            </w:r>
          </w:p>
        </w:tc>
      </w:tr>
      <w:tr>
        <w:trPr>
          <w:cantSplit/>
        </w:trPr>
        <w:tc>
          <w:tcPr>
            <w:tcW w:type="dxa" w:w="3096"/>
            <w:vAlign w:val="center"/>
          </w:tcPr>
          <w:p>
            <w:pPr>
              <w:spacing w:after="0"/>
            </w:pPr>
            <w:r/>
            <w:r>
              <w:rPr>
                <w:rFonts w:ascii="Arial" w:hAnsi="Arial"/>
                <w:b w:val="0"/>
                <w:sz w:val="16"/>
              </w:rPr>
              <w:t>Supporting roles</w:t>
            </w:r>
          </w:p>
        </w:tc>
        <w:tc>
          <w:tcPr>
            <w:tcW w:type="dxa" w:w="12024"/>
            <w:vAlign w:val="center"/>
          </w:tcPr>
          <w:p>
            <w:pPr>
              <w:spacing w:after="0"/>
            </w:pPr>
            <w:r/>
            <w:r>
              <w:rPr>
                <w:rFonts w:ascii="Arial" w:hAnsi="Arial"/>
                <w:b w:val="0"/>
                <w:sz w:val="16"/>
              </w:rPr>
              <w:t>All operational teams; higher management; external services.</w:t>
            </w:r>
          </w:p>
        </w:tc>
      </w:tr>
      <w:tr>
        <w:trPr>
          <w:cantSplit/>
        </w:trPr>
        <w:tc>
          <w:tcPr>
            <w:tcW w:type="dxa" w:w="3096"/>
            <w:vAlign w:val="center"/>
          </w:tcPr>
          <w:p>
            <w:pPr>
              <w:spacing w:after="0"/>
            </w:pPr>
            <w:r/>
            <w:r>
              <w:rPr>
                <w:rFonts w:ascii="Arial" w:hAnsi="Arial"/>
                <w:b w:val="0"/>
                <w:sz w:val="16"/>
              </w:rPr>
              <w:t>Business rules or controls</w:t>
            </w:r>
          </w:p>
        </w:tc>
        <w:tc>
          <w:tcPr>
            <w:tcW w:type="dxa" w:w="12024"/>
            <w:vAlign w:val="center"/>
          </w:tcPr>
          <w:p>
            <w:pPr>
              <w:spacing w:after="0"/>
            </w:pPr>
            <w:r/>
            <w:r>
              <w:rPr>
                <w:rFonts w:ascii="Arial" w:hAnsi="Arial"/>
                <w:b w:val="0"/>
                <w:sz w:val="16"/>
              </w:rPr>
              <w:t>Audit records include user, date, time and action and are not editable by ordinary users. Prevent wrong-patient association. Records must cover access, decisions, changes, authorisations, approvals, payments, funding and refunds.</w:t>
            </w:r>
          </w:p>
        </w:tc>
      </w:tr>
      <w:tr>
        <w:trPr>
          <w:cantSplit/>
        </w:trPr>
        <w:tc>
          <w:tcPr>
            <w:tcW w:type="dxa" w:w="3096"/>
            <w:vAlign w:val="center"/>
          </w:tcPr>
          <w:p>
            <w:pPr>
              <w:spacing w:after="0"/>
            </w:pPr>
            <w:r/>
            <w:r>
              <w:rPr>
                <w:rFonts w:ascii="Arial" w:hAnsi="Arial"/>
                <w:b w:val="0"/>
                <w:sz w:val="16"/>
              </w:rPr>
              <w:t>Dependencies on other processes or external services</w:t>
            </w:r>
          </w:p>
        </w:tc>
        <w:tc>
          <w:tcPr>
            <w:tcW w:type="dxa" w:w="12024"/>
            <w:vAlign w:val="center"/>
          </w:tcPr>
          <w:p>
            <w:pPr>
              <w:spacing w:after="0"/>
            </w:pPr>
            <w:r/>
            <w:r>
              <w:rPr>
                <w:rFonts w:ascii="Arial" w:hAnsi="Arial"/>
                <w:b w:val="0"/>
                <w:sz w:val="16"/>
              </w:rPr>
              <w:t>Cross-cutting dependency for all processes; relies on system availability and secure external integration.</w:t>
            </w:r>
          </w:p>
        </w:tc>
      </w:tr>
    </w:tbl>
    <w:p/>
    <w:p>
      <w:pPr>
        <w:pStyle w:val="Heading1"/>
      </w:pPr>
      <w:r>
        <w:t>4. Detailed Business Process Referral Review and New Patient Appointment Booking</w:t>
      </w:r>
    </w:p>
    <w:p>
      <w:r>
        <w:t>The workflow below shows the end-to-end path and exception routes stated in the case study. “Record” means a record created or updated in the Hospital Patient Administration System unless otherwise stated.</w:t>
      </w:r>
    </w:p>
    <w:tbl>
      <w:tblPr>
        <w:tblStyle w:val="TableGrid"/>
        <w:tblW w:type="auto" w:w="0"/>
        <w:jc w:val="center"/>
        <w:tblLayout w:type="fixed"/>
        <w:tblLook w:firstColumn="1" w:firstRow="1" w:lastColumn="0" w:lastRow="0" w:noHBand="0" w:noVBand="1" w:val="04A0"/>
      </w:tblPr>
      <w:tblGrid>
        <w:gridCol w:w="3812"/>
        <w:gridCol w:w="3812"/>
        <w:gridCol w:w="3812"/>
        <w:gridCol w:w="3812"/>
      </w:tblGrid>
      <w:tr>
        <w:trPr>
          <w:tblHeader w:val="true"/>
        </w:trPr>
        <w:tc>
          <w:tcPr>
            <w:tcW w:type="dxa" w:w="648"/>
            <w:vAlign w:val="center"/>
            <w:shd w:fill="1F4E78"/>
          </w:tcPr>
          <w:p>
            <w:pPr>
              <w:spacing w:after="0"/>
            </w:pPr>
            <w:r/>
            <w:r>
              <w:rPr>
                <w:rFonts w:ascii="Arial" w:hAnsi="Arial"/>
                <w:b/>
                <w:color w:val="FFFFFF"/>
                <w:sz w:val="16"/>
              </w:rPr>
              <w:t>Step</w:t>
            </w:r>
          </w:p>
        </w:tc>
        <w:tc>
          <w:tcPr>
            <w:tcW w:type="dxa" w:w="3096"/>
            <w:vAlign w:val="center"/>
            <w:shd w:fill="1F4E78"/>
          </w:tcPr>
          <w:p>
            <w:pPr>
              <w:spacing w:after="0"/>
            </w:pPr>
            <w:r/>
            <w:r>
              <w:rPr>
                <w:rFonts w:ascii="Arial" w:hAnsi="Arial"/>
                <w:b/>
                <w:color w:val="FFFFFF"/>
                <w:sz w:val="16"/>
              </w:rPr>
              <w:t>Responsible role</w:t>
            </w:r>
          </w:p>
        </w:tc>
        <w:tc>
          <w:tcPr>
            <w:tcW w:type="dxa" w:w="7272"/>
            <w:vAlign w:val="center"/>
            <w:shd w:fill="1F4E78"/>
          </w:tcPr>
          <w:p>
            <w:pPr>
              <w:spacing w:after="0"/>
            </w:pPr>
            <w:r/>
            <w:r>
              <w:rPr>
                <w:rFonts w:ascii="Arial" w:hAnsi="Arial"/>
                <w:b/>
                <w:color w:val="FFFFFF"/>
                <w:sz w:val="16"/>
              </w:rPr>
              <w:t>Activity / decision</w:t>
            </w:r>
          </w:p>
        </w:tc>
        <w:tc>
          <w:tcPr>
            <w:tcW w:type="dxa" w:w="4104"/>
            <w:vAlign w:val="center"/>
            <w:shd w:fill="1F4E78"/>
          </w:tcPr>
          <w:p>
            <w:pPr>
              <w:spacing w:after="0"/>
            </w:pPr>
            <w:r/>
            <w:r>
              <w:rPr>
                <w:rFonts w:ascii="Arial" w:hAnsi="Arial"/>
                <w:b/>
                <w:color w:val="FFFFFF"/>
                <w:sz w:val="16"/>
              </w:rPr>
              <w:t>System record created or updated</w:t>
            </w:r>
          </w:p>
        </w:tc>
      </w:tr>
      <w:tr>
        <w:trPr>
          <w:cantSplit/>
        </w:trPr>
        <w:tc>
          <w:tcPr>
            <w:tcW w:type="dxa" w:w="648"/>
            <w:vAlign w:val="center"/>
          </w:tcPr>
          <w:p>
            <w:pPr>
              <w:spacing w:after="0"/>
            </w:pPr>
            <w:r/>
            <w:r>
              <w:rPr>
                <w:rFonts w:ascii="Arial" w:hAnsi="Arial"/>
                <w:b w:val="0"/>
                <w:sz w:val="16"/>
              </w:rPr>
              <w:t>1</w:t>
            </w:r>
          </w:p>
        </w:tc>
        <w:tc>
          <w:tcPr>
            <w:tcW w:type="dxa" w:w="3096"/>
            <w:vAlign w:val="center"/>
          </w:tcPr>
          <w:p>
            <w:pPr>
              <w:spacing w:after="0"/>
            </w:pPr>
            <w:r/>
            <w:r>
              <w:rPr>
                <w:rFonts w:ascii="Arial" w:hAnsi="Arial"/>
                <w:b w:val="0"/>
                <w:sz w:val="16"/>
              </w:rPr>
              <w:t>Medical Secretaries</w:t>
            </w:r>
          </w:p>
        </w:tc>
        <w:tc>
          <w:tcPr>
            <w:tcW w:type="dxa" w:w="7272"/>
            <w:vAlign w:val="center"/>
          </w:tcPr>
          <w:p>
            <w:pPr>
              <w:spacing w:after="0"/>
            </w:pPr>
            <w:r/>
            <w:r>
              <w:rPr>
                <w:rFonts w:ascii="Arial" w:hAnsi="Arial"/>
                <w:b w:val="0"/>
                <w:sz w:val="16"/>
              </w:rPr>
              <w:t>Receive referral from GP, hospital or other referring organisation and register it.</w:t>
            </w:r>
          </w:p>
        </w:tc>
        <w:tc>
          <w:tcPr>
            <w:tcW w:type="dxa" w:w="4104"/>
            <w:vAlign w:val="center"/>
          </w:tcPr>
          <w:p>
            <w:pPr>
              <w:spacing w:after="0"/>
            </w:pPr>
            <w:r/>
            <w:r>
              <w:rPr>
                <w:rFonts w:ascii="Arial" w:hAnsi="Arial"/>
                <w:b w:val="0"/>
                <w:sz w:val="16"/>
              </w:rPr>
              <w:t>Referral record created; source, received date and available documents recorded.</w:t>
            </w:r>
          </w:p>
        </w:tc>
      </w:tr>
      <w:tr>
        <w:trPr>
          <w:cantSplit/>
        </w:trPr>
        <w:tc>
          <w:tcPr>
            <w:tcW w:type="dxa" w:w="648"/>
            <w:vAlign w:val="center"/>
          </w:tcPr>
          <w:p>
            <w:pPr>
              <w:spacing w:after="0"/>
            </w:pPr>
            <w:r/>
            <w:r>
              <w:rPr>
                <w:rFonts w:ascii="Arial" w:hAnsi="Arial"/>
                <w:b w:val="0"/>
                <w:sz w:val="16"/>
              </w:rPr>
              <w:t>2</w:t>
            </w:r>
          </w:p>
        </w:tc>
        <w:tc>
          <w:tcPr>
            <w:tcW w:type="dxa" w:w="3096"/>
            <w:vAlign w:val="center"/>
          </w:tcPr>
          <w:p>
            <w:pPr>
              <w:spacing w:after="0"/>
            </w:pPr>
            <w:r/>
            <w:r>
              <w:rPr>
                <w:rFonts w:ascii="Arial" w:hAnsi="Arial"/>
                <w:b w:val="0"/>
                <w:sz w:val="16"/>
              </w:rPr>
              <w:t>Medical Secretaries</w:t>
            </w:r>
          </w:p>
        </w:tc>
        <w:tc>
          <w:tcPr>
            <w:tcW w:type="dxa" w:w="7272"/>
            <w:vAlign w:val="center"/>
          </w:tcPr>
          <w:p>
            <w:pPr>
              <w:spacing w:after="0"/>
            </w:pPr>
            <w:r/>
            <w:r>
              <w:rPr>
                <w:rFonts w:ascii="Arial" w:hAnsi="Arial"/>
                <w:b w:val="0"/>
                <w:sz w:val="16"/>
              </w:rPr>
              <w:t>Check whether expected supporting information is available, including previous clinic letters, investigation results, diagnostic reports and relevant clinical documentation.</w:t>
            </w:r>
          </w:p>
        </w:tc>
        <w:tc>
          <w:tcPr>
            <w:tcW w:type="dxa" w:w="4104"/>
            <w:vAlign w:val="center"/>
          </w:tcPr>
          <w:p>
            <w:pPr>
              <w:spacing w:after="0"/>
            </w:pPr>
            <w:r/>
            <w:r>
              <w:rPr>
                <w:rFonts w:ascii="Arial" w:hAnsi="Arial"/>
                <w:b w:val="0"/>
                <w:sz w:val="16"/>
              </w:rPr>
              <w:t>Completeness-check result and document inventory recorded.</w:t>
            </w:r>
          </w:p>
        </w:tc>
      </w:tr>
      <w:tr>
        <w:trPr>
          <w:cantSplit/>
        </w:trPr>
        <w:tc>
          <w:tcPr>
            <w:tcW w:type="dxa" w:w="648"/>
            <w:vAlign w:val="center"/>
          </w:tcPr>
          <w:p>
            <w:pPr>
              <w:spacing w:after="0"/>
            </w:pPr>
            <w:r/>
            <w:r>
              <w:rPr>
                <w:rFonts w:ascii="Arial" w:hAnsi="Arial"/>
                <w:b w:val="0"/>
                <w:sz w:val="16"/>
              </w:rPr>
              <w:t>3</w:t>
            </w:r>
          </w:p>
        </w:tc>
        <w:tc>
          <w:tcPr>
            <w:tcW w:type="dxa" w:w="3096"/>
            <w:vAlign w:val="center"/>
          </w:tcPr>
          <w:p>
            <w:pPr>
              <w:spacing w:after="0"/>
            </w:pPr>
            <w:r/>
            <w:r>
              <w:rPr>
                <w:rFonts w:ascii="Arial" w:hAnsi="Arial"/>
                <w:b w:val="0"/>
                <w:sz w:val="16"/>
              </w:rPr>
              <w:t>Medical Secretaries</w:t>
            </w:r>
          </w:p>
        </w:tc>
        <w:tc>
          <w:tcPr>
            <w:tcW w:type="dxa" w:w="7272"/>
            <w:vAlign w:val="center"/>
          </w:tcPr>
          <w:p>
            <w:pPr>
              <w:spacing w:after="0"/>
            </w:pPr>
            <w:r/>
            <w:r>
              <w:rPr>
                <w:rFonts w:ascii="Arial" w:hAnsi="Arial"/>
                <w:b w:val="0"/>
                <w:sz w:val="16"/>
              </w:rPr>
              <w:t>If information is missing, request it from the referring organisation. Do not assess clinical suitability.</w:t>
            </w:r>
          </w:p>
        </w:tc>
        <w:tc>
          <w:tcPr>
            <w:tcW w:type="dxa" w:w="4104"/>
            <w:vAlign w:val="center"/>
          </w:tcPr>
          <w:p>
            <w:pPr>
              <w:spacing w:after="0"/>
            </w:pPr>
            <w:r/>
            <w:r>
              <w:rPr>
                <w:rFonts w:ascii="Arial" w:hAnsi="Arial"/>
                <w:b w:val="0"/>
                <w:sz w:val="16"/>
              </w:rPr>
              <w:t>Missing-information request and outstanding-items status recorded.</w:t>
            </w:r>
          </w:p>
        </w:tc>
      </w:tr>
      <w:tr>
        <w:trPr>
          <w:cantSplit/>
        </w:trPr>
        <w:tc>
          <w:tcPr>
            <w:tcW w:type="dxa" w:w="648"/>
            <w:vAlign w:val="center"/>
          </w:tcPr>
          <w:p>
            <w:pPr>
              <w:spacing w:after="0"/>
            </w:pPr>
            <w:r/>
            <w:r>
              <w:rPr>
                <w:rFonts w:ascii="Arial" w:hAnsi="Arial"/>
                <w:b w:val="0"/>
                <w:sz w:val="16"/>
              </w:rPr>
              <w:t>4</w:t>
            </w:r>
          </w:p>
        </w:tc>
        <w:tc>
          <w:tcPr>
            <w:tcW w:type="dxa" w:w="3096"/>
            <w:vAlign w:val="center"/>
          </w:tcPr>
          <w:p>
            <w:pPr>
              <w:spacing w:after="0"/>
            </w:pPr>
            <w:r/>
            <w:r>
              <w:rPr>
                <w:rFonts w:ascii="Arial" w:hAnsi="Arial"/>
                <w:b w:val="0"/>
                <w:sz w:val="16"/>
              </w:rPr>
              <w:t>Referring organisation / Medical Secretaries</w:t>
            </w:r>
          </w:p>
        </w:tc>
        <w:tc>
          <w:tcPr>
            <w:tcW w:type="dxa" w:w="7272"/>
            <w:vAlign w:val="center"/>
          </w:tcPr>
          <w:p>
            <w:pPr>
              <w:spacing w:after="0"/>
            </w:pPr>
            <w:r/>
            <w:r>
              <w:rPr>
                <w:rFonts w:ascii="Arial" w:hAnsi="Arial"/>
                <w:b w:val="0"/>
                <w:sz w:val="16"/>
              </w:rPr>
              <w:t>Provide and receive additional information. Repeat the administrative completeness check when it arrives.</w:t>
            </w:r>
          </w:p>
        </w:tc>
        <w:tc>
          <w:tcPr>
            <w:tcW w:type="dxa" w:w="4104"/>
            <w:vAlign w:val="center"/>
          </w:tcPr>
          <w:p>
            <w:pPr>
              <w:spacing w:after="0"/>
            </w:pPr>
            <w:r/>
            <w:r>
              <w:rPr>
                <w:rFonts w:ascii="Arial" w:hAnsi="Arial"/>
                <w:b w:val="0"/>
                <w:sz w:val="16"/>
              </w:rPr>
              <w:t>Referral record updated with received documents and revised completeness status.</w:t>
            </w:r>
          </w:p>
        </w:tc>
      </w:tr>
      <w:tr>
        <w:trPr>
          <w:cantSplit/>
        </w:trPr>
        <w:tc>
          <w:tcPr>
            <w:tcW w:type="dxa" w:w="648"/>
            <w:vAlign w:val="center"/>
          </w:tcPr>
          <w:p>
            <w:pPr>
              <w:spacing w:after="0"/>
            </w:pPr>
            <w:r/>
            <w:r>
              <w:rPr>
                <w:rFonts w:ascii="Arial" w:hAnsi="Arial"/>
                <w:b w:val="0"/>
                <w:sz w:val="16"/>
              </w:rPr>
              <w:t>5</w:t>
            </w:r>
          </w:p>
        </w:tc>
        <w:tc>
          <w:tcPr>
            <w:tcW w:type="dxa" w:w="3096"/>
            <w:vAlign w:val="center"/>
          </w:tcPr>
          <w:p>
            <w:pPr>
              <w:spacing w:after="0"/>
            </w:pPr>
            <w:r/>
            <w:r>
              <w:rPr>
                <w:rFonts w:ascii="Arial" w:hAnsi="Arial"/>
                <w:b w:val="0"/>
                <w:sz w:val="16"/>
              </w:rPr>
              <w:t>Medical Secretaries</w:t>
            </w:r>
          </w:p>
        </w:tc>
        <w:tc>
          <w:tcPr>
            <w:tcW w:type="dxa" w:w="7272"/>
            <w:vAlign w:val="center"/>
          </w:tcPr>
          <w:p>
            <w:pPr>
              <w:spacing w:after="0"/>
            </w:pPr>
            <w:r/>
            <w:r>
              <w:rPr>
                <w:rFonts w:ascii="Arial" w:hAnsi="Arial"/>
                <w:b w:val="0"/>
                <w:sz w:val="16"/>
              </w:rPr>
              <w:t>Send the available checked referral to the appropriate Consultant for clinical review.</w:t>
            </w:r>
          </w:p>
        </w:tc>
        <w:tc>
          <w:tcPr>
            <w:tcW w:type="dxa" w:w="4104"/>
            <w:vAlign w:val="center"/>
          </w:tcPr>
          <w:p>
            <w:pPr>
              <w:spacing w:after="0"/>
            </w:pPr>
            <w:r/>
            <w:r>
              <w:rPr>
                <w:rFonts w:ascii="Arial" w:hAnsi="Arial"/>
                <w:b w:val="0"/>
                <w:sz w:val="16"/>
              </w:rPr>
              <w:t>Consultant-review task/assignment and dispatch date recorded.</w:t>
            </w:r>
          </w:p>
        </w:tc>
      </w:tr>
      <w:tr>
        <w:trPr>
          <w:cantSplit/>
        </w:trPr>
        <w:tc>
          <w:tcPr>
            <w:tcW w:type="dxa" w:w="648"/>
            <w:vAlign w:val="center"/>
          </w:tcPr>
          <w:p>
            <w:pPr>
              <w:spacing w:after="0"/>
            </w:pPr>
            <w:r/>
            <w:r>
              <w:rPr>
                <w:rFonts w:ascii="Arial" w:hAnsi="Arial"/>
                <w:b w:val="0"/>
                <w:sz w:val="16"/>
              </w:rPr>
              <w:t>6</w:t>
            </w:r>
          </w:p>
        </w:tc>
        <w:tc>
          <w:tcPr>
            <w:tcW w:type="dxa" w:w="3096"/>
            <w:vAlign w:val="center"/>
          </w:tcPr>
          <w:p>
            <w:pPr>
              <w:spacing w:after="0"/>
            </w:pPr>
            <w:r/>
            <w:r>
              <w:rPr>
                <w:rFonts w:ascii="Arial" w:hAnsi="Arial"/>
                <w:b w:val="0"/>
                <w:sz w:val="16"/>
              </w:rPr>
              <w:t>Authorised Consultant</w:t>
            </w:r>
          </w:p>
        </w:tc>
        <w:tc>
          <w:tcPr>
            <w:tcW w:type="dxa" w:w="7272"/>
            <w:vAlign w:val="center"/>
          </w:tcPr>
          <w:p>
            <w:pPr>
              <w:spacing w:after="0"/>
            </w:pPr>
            <w:r/>
            <w:r>
              <w:rPr>
                <w:rFonts w:ascii="Arial" w:hAnsi="Arial"/>
                <w:b w:val="0"/>
                <w:sz w:val="16"/>
              </w:rPr>
              <w:t>Review referral and make one clinical decision: accept, reject, request further information, or redirect to another specialist service.</w:t>
            </w:r>
          </w:p>
        </w:tc>
        <w:tc>
          <w:tcPr>
            <w:tcW w:type="dxa" w:w="4104"/>
            <w:vAlign w:val="center"/>
          </w:tcPr>
          <w:p>
            <w:pPr>
              <w:spacing w:after="0"/>
            </w:pPr>
            <w:r/>
            <w:r>
              <w:rPr>
                <w:rFonts w:ascii="Arial" w:hAnsi="Arial"/>
                <w:b w:val="0"/>
                <w:sz w:val="16"/>
              </w:rPr>
              <w:t>Authorised referral decision, decision reason, decision maker and decision date/time recorded.</w:t>
            </w:r>
          </w:p>
        </w:tc>
      </w:tr>
      <w:tr>
        <w:trPr>
          <w:cantSplit/>
        </w:trPr>
        <w:tc>
          <w:tcPr>
            <w:tcW w:type="dxa" w:w="648"/>
            <w:vAlign w:val="center"/>
          </w:tcPr>
          <w:p>
            <w:pPr>
              <w:spacing w:after="0"/>
            </w:pPr>
            <w:r/>
            <w:r>
              <w:rPr>
                <w:rFonts w:ascii="Arial" w:hAnsi="Arial"/>
                <w:b w:val="0"/>
                <w:sz w:val="16"/>
              </w:rPr>
              <w:t>7a</w:t>
            </w:r>
          </w:p>
        </w:tc>
        <w:tc>
          <w:tcPr>
            <w:tcW w:type="dxa" w:w="3096"/>
            <w:vAlign w:val="center"/>
          </w:tcPr>
          <w:p>
            <w:pPr>
              <w:spacing w:after="0"/>
            </w:pPr>
            <w:r/>
            <w:r>
              <w:rPr>
                <w:rFonts w:ascii="Arial" w:hAnsi="Arial"/>
                <w:b w:val="0"/>
                <w:sz w:val="16"/>
              </w:rPr>
              <w:t>Medical Secretaries / referring organisation</w:t>
            </w:r>
          </w:p>
        </w:tc>
        <w:tc>
          <w:tcPr>
            <w:tcW w:type="dxa" w:w="7272"/>
            <w:vAlign w:val="center"/>
          </w:tcPr>
          <w:p>
            <w:pPr>
              <w:spacing w:after="0"/>
            </w:pPr>
            <w:r/>
            <w:r>
              <w:rPr>
                <w:rFonts w:ascii="Arial" w:hAnsi="Arial"/>
                <w:b w:val="0"/>
                <w:sz w:val="16"/>
              </w:rPr>
              <w:t>If more information is requested, obtain it and return the referral to Consultant review.</w:t>
            </w:r>
          </w:p>
        </w:tc>
        <w:tc>
          <w:tcPr>
            <w:tcW w:type="dxa" w:w="4104"/>
            <w:vAlign w:val="center"/>
          </w:tcPr>
          <w:p>
            <w:pPr>
              <w:spacing w:after="0"/>
            </w:pPr>
            <w:r/>
            <w:r>
              <w:rPr>
                <w:rFonts w:ascii="Arial" w:hAnsi="Arial"/>
                <w:b w:val="0"/>
                <w:sz w:val="16"/>
              </w:rPr>
              <w:t>Further-information request and re-review status recorded.</w:t>
            </w:r>
          </w:p>
        </w:tc>
      </w:tr>
      <w:tr>
        <w:trPr>
          <w:cantSplit/>
        </w:trPr>
        <w:tc>
          <w:tcPr>
            <w:tcW w:type="dxa" w:w="648"/>
            <w:vAlign w:val="center"/>
          </w:tcPr>
          <w:p>
            <w:pPr>
              <w:spacing w:after="0"/>
            </w:pPr>
            <w:r/>
            <w:r>
              <w:rPr>
                <w:rFonts w:ascii="Arial" w:hAnsi="Arial"/>
                <w:b w:val="0"/>
                <w:sz w:val="16"/>
              </w:rPr>
              <w:t>7b</w:t>
            </w:r>
          </w:p>
        </w:tc>
        <w:tc>
          <w:tcPr>
            <w:tcW w:type="dxa" w:w="3096"/>
            <w:vAlign w:val="center"/>
          </w:tcPr>
          <w:p>
            <w:pPr>
              <w:spacing w:after="0"/>
            </w:pPr>
            <w:r/>
            <w:r>
              <w:rPr>
                <w:rFonts w:ascii="Arial" w:hAnsi="Arial"/>
                <w:b w:val="0"/>
                <w:sz w:val="16"/>
              </w:rPr>
              <w:t>Medical Secretaries / Consultant</w:t>
            </w:r>
          </w:p>
        </w:tc>
        <w:tc>
          <w:tcPr>
            <w:tcW w:type="dxa" w:w="7272"/>
            <w:vAlign w:val="center"/>
          </w:tcPr>
          <w:p>
            <w:pPr>
              <w:spacing w:after="0"/>
            </w:pPr>
            <w:r/>
            <w:r>
              <w:rPr>
                <w:rFonts w:ascii="Arial" w:hAnsi="Arial"/>
                <w:b w:val="0"/>
                <w:sz w:val="16"/>
              </w:rPr>
              <w:t>If rejected or redirected, communicate/route according to the decision. A New Patient Appointment is not booked for this referral route unless subsequently accepted by the appropriate service.</w:t>
            </w:r>
          </w:p>
        </w:tc>
        <w:tc>
          <w:tcPr>
            <w:tcW w:type="dxa" w:w="4104"/>
            <w:vAlign w:val="center"/>
          </w:tcPr>
          <w:p>
            <w:pPr>
              <w:spacing w:after="0"/>
            </w:pPr>
            <w:r/>
            <w:r>
              <w:rPr>
                <w:rFonts w:ascii="Arial" w:hAnsi="Arial"/>
                <w:b w:val="0"/>
                <w:sz w:val="16"/>
              </w:rPr>
              <w:t>Rejection or redirection outcome and destination/communication record updated.</w:t>
            </w:r>
          </w:p>
        </w:tc>
      </w:tr>
      <w:tr>
        <w:trPr>
          <w:cantSplit/>
        </w:trPr>
        <w:tc>
          <w:tcPr>
            <w:tcW w:type="dxa" w:w="648"/>
            <w:vAlign w:val="center"/>
          </w:tcPr>
          <w:p>
            <w:pPr>
              <w:spacing w:after="0"/>
            </w:pPr>
            <w:r/>
            <w:r>
              <w:rPr>
                <w:rFonts w:ascii="Arial" w:hAnsi="Arial"/>
                <w:b w:val="0"/>
                <w:sz w:val="16"/>
              </w:rPr>
              <w:t>8</w:t>
            </w:r>
          </w:p>
        </w:tc>
        <w:tc>
          <w:tcPr>
            <w:tcW w:type="dxa" w:w="3096"/>
            <w:vAlign w:val="center"/>
          </w:tcPr>
          <w:p>
            <w:pPr>
              <w:spacing w:after="0"/>
            </w:pPr>
            <w:r/>
            <w:r>
              <w:rPr>
                <w:rFonts w:ascii="Arial" w:hAnsi="Arial"/>
                <w:b w:val="0"/>
                <w:sz w:val="16"/>
              </w:rPr>
              <w:t>Outpatient Bookings Team</w:t>
            </w:r>
          </w:p>
        </w:tc>
        <w:tc>
          <w:tcPr>
            <w:tcW w:type="dxa" w:w="7272"/>
            <w:vAlign w:val="center"/>
          </w:tcPr>
          <w:p>
            <w:pPr>
              <w:spacing w:after="0"/>
            </w:pPr>
            <w:r/>
            <w:r>
              <w:rPr>
                <w:rFonts w:ascii="Arial" w:hAnsi="Arial"/>
                <w:b w:val="0"/>
                <w:sz w:val="16"/>
              </w:rPr>
              <w:t>Only after authorised acceptance, receive booking request with speciality, priority, preferred timeframe and patient requirements.</w:t>
            </w:r>
          </w:p>
        </w:tc>
        <w:tc>
          <w:tcPr>
            <w:tcW w:type="dxa" w:w="4104"/>
            <w:vAlign w:val="center"/>
          </w:tcPr>
          <w:p>
            <w:pPr>
              <w:spacing w:after="0"/>
            </w:pPr>
            <w:r/>
            <w:r>
              <w:rPr>
                <w:rFonts w:ascii="Arial" w:hAnsi="Arial"/>
                <w:b w:val="0"/>
                <w:sz w:val="16"/>
              </w:rPr>
              <w:t>Booking request created/received with authorised acceptance reference.</w:t>
            </w:r>
          </w:p>
        </w:tc>
      </w:tr>
      <w:tr>
        <w:trPr>
          <w:cantSplit/>
        </w:trPr>
        <w:tc>
          <w:tcPr>
            <w:tcW w:type="dxa" w:w="648"/>
            <w:vAlign w:val="center"/>
          </w:tcPr>
          <w:p>
            <w:pPr>
              <w:spacing w:after="0"/>
            </w:pPr>
            <w:r/>
            <w:r>
              <w:rPr>
                <w:rFonts w:ascii="Arial" w:hAnsi="Arial"/>
                <w:b w:val="0"/>
                <w:sz w:val="16"/>
              </w:rPr>
              <w:t>9</w:t>
            </w:r>
          </w:p>
        </w:tc>
        <w:tc>
          <w:tcPr>
            <w:tcW w:type="dxa" w:w="3096"/>
            <w:vAlign w:val="center"/>
          </w:tcPr>
          <w:p>
            <w:pPr>
              <w:spacing w:after="0"/>
            </w:pPr>
            <w:r/>
            <w:r>
              <w:rPr>
                <w:rFonts w:ascii="Arial" w:hAnsi="Arial"/>
                <w:b w:val="0"/>
                <w:sz w:val="16"/>
              </w:rPr>
              <w:t>Outpatient Bookings Team / external scheduling service</w:t>
            </w:r>
          </w:p>
        </w:tc>
        <w:tc>
          <w:tcPr>
            <w:tcW w:type="dxa" w:w="7272"/>
            <w:vAlign w:val="center"/>
          </w:tcPr>
          <w:p>
            <w:pPr>
              <w:spacing w:after="0"/>
            </w:pPr>
            <w:r/>
            <w:r>
              <w:rPr>
                <w:rFonts w:ascii="Arial" w:hAnsi="Arial"/>
                <w:b w:val="0"/>
                <w:sz w:val="16"/>
              </w:rPr>
              <w:t>Search external scheduling service for a suitable appointment and, if found, secure the appointment and confirm it in the hospital system.</w:t>
            </w:r>
          </w:p>
        </w:tc>
        <w:tc>
          <w:tcPr>
            <w:tcW w:type="dxa" w:w="4104"/>
            <w:vAlign w:val="center"/>
          </w:tcPr>
          <w:p>
            <w:pPr>
              <w:spacing w:after="0"/>
            </w:pPr>
            <w:r/>
            <w:r>
              <w:rPr>
                <w:rFonts w:ascii="Arial" w:hAnsi="Arial"/>
                <w:b w:val="0"/>
                <w:sz w:val="16"/>
              </w:rPr>
              <w:t>External scheduling outcome and confirmed appointment record created.</w:t>
            </w:r>
          </w:p>
        </w:tc>
      </w:tr>
      <w:tr>
        <w:trPr>
          <w:cantSplit/>
        </w:trPr>
        <w:tc>
          <w:tcPr>
            <w:tcW w:type="dxa" w:w="648"/>
            <w:vAlign w:val="center"/>
          </w:tcPr>
          <w:p>
            <w:pPr>
              <w:spacing w:after="0"/>
            </w:pPr>
            <w:r/>
            <w:r>
              <w:rPr>
                <w:rFonts w:ascii="Arial" w:hAnsi="Arial"/>
                <w:b w:val="0"/>
                <w:sz w:val="16"/>
              </w:rPr>
              <w:t>10</w:t>
            </w:r>
          </w:p>
        </w:tc>
        <w:tc>
          <w:tcPr>
            <w:tcW w:type="dxa" w:w="3096"/>
            <w:vAlign w:val="center"/>
          </w:tcPr>
          <w:p>
            <w:pPr>
              <w:spacing w:after="0"/>
            </w:pPr>
            <w:r/>
            <w:r>
              <w:rPr>
                <w:rFonts w:ascii="Arial" w:hAnsi="Arial"/>
                <w:b w:val="0"/>
                <w:sz w:val="16"/>
              </w:rPr>
              <w:t>Outpatient Bookings Team</w:t>
            </w:r>
          </w:p>
        </w:tc>
        <w:tc>
          <w:tcPr>
            <w:tcW w:type="dxa" w:w="7272"/>
            <w:vAlign w:val="center"/>
          </w:tcPr>
          <w:p>
            <w:pPr>
              <w:spacing w:after="0"/>
            </w:pPr>
            <w:r/>
            <w:r>
              <w:rPr>
                <w:rFonts w:ascii="Arial" w:hAnsi="Arial"/>
                <w:b w:val="0"/>
                <w:sz w:val="16"/>
              </w:rPr>
              <w:t>Send normal appointment notification by letter through the external correspondence service.</w:t>
            </w:r>
          </w:p>
        </w:tc>
        <w:tc>
          <w:tcPr>
            <w:tcW w:type="dxa" w:w="4104"/>
            <w:vAlign w:val="center"/>
          </w:tcPr>
          <w:p>
            <w:pPr>
              <w:spacing w:after="0"/>
            </w:pPr>
            <w:r/>
            <w:r>
              <w:rPr>
                <w:rFonts w:ascii="Arial" w:hAnsi="Arial"/>
                <w:b w:val="0"/>
                <w:sz w:val="16"/>
              </w:rPr>
              <w:t>Correspondence request, method and distribution status recorded.</w:t>
            </w:r>
          </w:p>
        </w:tc>
      </w:tr>
      <w:tr>
        <w:trPr>
          <w:cantSplit/>
        </w:trPr>
        <w:tc>
          <w:tcPr>
            <w:tcW w:type="dxa" w:w="648"/>
            <w:vAlign w:val="center"/>
          </w:tcPr>
          <w:p>
            <w:pPr>
              <w:spacing w:after="0"/>
            </w:pPr>
            <w:r/>
            <w:r>
              <w:rPr>
                <w:rFonts w:ascii="Arial" w:hAnsi="Arial"/>
                <w:b w:val="0"/>
                <w:sz w:val="16"/>
              </w:rPr>
              <w:t>11</w:t>
            </w:r>
          </w:p>
        </w:tc>
        <w:tc>
          <w:tcPr>
            <w:tcW w:type="dxa" w:w="3096"/>
            <w:vAlign w:val="center"/>
          </w:tcPr>
          <w:p>
            <w:pPr>
              <w:spacing w:after="0"/>
            </w:pPr>
            <w:r/>
            <w:r>
              <w:rPr>
                <w:rFonts w:ascii="Arial" w:hAnsi="Arial"/>
                <w:b w:val="0"/>
                <w:sz w:val="16"/>
              </w:rPr>
              <w:t>Outpatient Bookings Team</w:t>
            </w:r>
          </w:p>
        </w:tc>
        <w:tc>
          <w:tcPr>
            <w:tcW w:type="dxa" w:w="7272"/>
            <w:vAlign w:val="center"/>
          </w:tcPr>
          <w:p>
            <w:pPr>
              <w:spacing w:after="0"/>
            </w:pPr>
            <w:r/>
            <w:r>
              <w:rPr>
                <w:rFonts w:ascii="Arial" w:hAnsi="Arial"/>
                <w:b w:val="0"/>
                <w:sz w:val="16"/>
              </w:rPr>
              <w:t>If the appointment is within the following two weeks, telephone the patient as well as sending the letter.</w:t>
            </w:r>
          </w:p>
        </w:tc>
        <w:tc>
          <w:tcPr>
            <w:tcW w:type="dxa" w:w="4104"/>
            <w:vAlign w:val="center"/>
          </w:tcPr>
          <w:p>
            <w:pPr>
              <w:spacing w:after="0"/>
            </w:pPr>
            <w:r/>
            <w:r>
              <w:rPr>
                <w:rFonts w:ascii="Arial" w:hAnsi="Arial"/>
                <w:b w:val="0"/>
                <w:sz w:val="16"/>
              </w:rPr>
              <w:t>Telephone-contact attempt and outcome recorded.</w:t>
            </w:r>
          </w:p>
        </w:tc>
      </w:tr>
      <w:tr>
        <w:trPr>
          <w:cantSplit/>
        </w:trPr>
        <w:tc>
          <w:tcPr>
            <w:tcW w:type="dxa" w:w="648"/>
            <w:vAlign w:val="center"/>
          </w:tcPr>
          <w:p>
            <w:pPr>
              <w:spacing w:after="0"/>
            </w:pPr>
            <w:r/>
            <w:r>
              <w:rPr>
                <w:rFonts w:ascii="Arial" w:hAnsi="Arial"/>
                <w:b w:val="0"/>
                <w:sz w:val="16"/>
              </w:rPr>
              <w:t>12a</w:t>
            </w:r>
          </w:p>
        </w:tc>
        <w:tc>
          <w:tcPr>
            <w:tcW w:type="dxa" w:w="3096"/>
            <w:vAlign w:val="center"/>
          </w:tcPr>
          <w:p>
            <w:pPr>
              <w:spacing w:after="0"/>
            </w:pPr>
            <w:r/>
            <w:r>
              <w:rPr>
                <w:rFonts w:ascii="Arial" w:hAnsi="Arial"/>
                <w:b w:val="0"/>
                <w:sz w:val="16"/>
              </w:rPr>
              <w:t>Outpatient Bookings Team</w:t>
            </w:r>
          </w:p>
        </w:tc>
        <w:tc>
          <w:tcPr>
            <w:tcW w:type="dxa" w:w="7272"/>
            <w:vAlign w:val="center"/>
          </w:tcPr>
          <w:p>
            <w:pPr>
              <w:spacing w:after="0"/>
            </w:pPr>
            <w:r/>
            <w:r>
              <w:rPr>
                <w:rFonts w:ascii="Arial" w:hAnsi="Arial"/>
                <w:b w:val="0"/>
                <w:sz w:val="16"/>
              </w:rPr>
              <w:t>If the call is unanswered, record the result and make handling visible for follow-up. The case does not state a retry rule.</w:t>
            </w:r>
          </w:p>
        </w:tc>
        <w:tc>
          <w:tcPr>
            <w:tcW w:type="dxa" w:w="4104"/>
            <w:vAlign w:val="center"/>
          </w:tcPr>
          <w:p>
            <w:pPr>
              <w:spacing w:after="0"/>
            </w:pPr>
            <w:r/>
            <w:r>
              <w:rPr>
                <w:rFonts w:ascii="Arial" w:hAnsi="Arial"/>
                <w:b w:val="0"/>
                <w:sz w:val="16"/>
              </w:rPr>
              <w:t>Unanswered contact outcome and follow-up status recorded.</w:t>
            </w:r>
          </w:p>
        </w:tc>
      </w:tr>
      <w:tr>
        <w:trPr>
          <w:cantSplit/>
        </w:trPr>
        <w:tc>
          <w:tcPr>
            <w:tcW w:type="dxa" w:w="648"/>
            <w:vAlign w:val="center"/>
          </w:tcPr>
          <w:p>
            <w:pPr>
              <w:spacing w:after="0"/>
            </w:pPr>
            <w:r/>
            <w:r>
              <w:rPr>
                <w:rFonts w:ascii="Arial" w:hAnsi="Arial"/>
                <w:b w:val="0"/>
                <w:sz w:val="16"/>
              </w:rPr>
              <w:t>12b</w:t>
            </w:r>
          </w:p>
        </w:tc>
        <w:tc>
          <w:tcPr>
            <w:tcW w:type="dxa" w:w="3096"/>
            <w:vAlign w:val="center"/>
          </w:tcPr>
          <w:p>
            <w:pPr>
              <w:spacing w:after="0"/>
            </w:pPr>
            <w:r/>
            <w:r>
              <w:rPr>
                <w:rFonts w:ascii="Arial" w:hAnsi="Arial"/>
                <w:b w:val="0"/>
                <w:sz w:val="16"/>
              </w:rPr>
              <w:t>Outpatient Bookings Team</w:t>
            </w:r>
          </w:p>
        </w:tc>
        <w:tc>
          <w:tcPr>
            <w:tcW w:type="dxa" w:w="7272"/>
            <w:vAlign w:val="center"/>
          </w:tcPr>
          <w:p>
            <w:pPr>
              <w:spacing w:after="0"/>
            </w:pPr>
            <w:r/>
            <w:r>
              <w:rPr>
                <w:rFonts w:ascii="Arial" w:hAnsi="Arial"/>
                <w:b w:val="0"/>
                <w:sz w:val="16"/>
              </w:rPr>
              <w:t>If the number is incorrect, record the outcome and seek corrected contact information through an appropriate route.</w:t>
            </w:r>
          </w:p>
        </w:tc>
        <w:tc>
          <w:tcPr>
            <w:tcW w:type="dxa" w:w="4104"/>
            <w:vAlign w:val="center"/>
          </w:tcPr>
          <w:p>
            <w:pPr>
              <w:spacing w:after="0"/>
            </w:pPr>
            <w:r/>
            <w:r>
              <w:rPr>
                <w:rFonts w:ascii="Arial" w:hAnsi="Arial"/>
                <w:b w:val="0"/>
                <w:sz w:val="16"/>
              </w:rPr>
              <w:t>Incorrect-contact-details outcome and contact-details update/request recorded.</w:t>
            </w:r>
          </w:p>
        </w:tc>
      </w:tr>
      <w:tr>
        <w:trPr>
          <w:cantSplit/>
        </w:trPr>
        <w:tc>
          <w:tcPr>
            <w:tcW w:type="dxa" w:w="648"/>
            <w:vAlign w:val="center"/>
          </w:tcPr>
          <w:p>
            <w:pPr>
              <w:spacing w:after="0"/>
            </w:pPr>
            <w:r/>
            <w:r>
              <w:rPr>
                <w:rFonts w:ascii="Arial" w:hAnsi="Arial"/>
                <w:b w:val="0"/>
                <w:sz w:val="16"/>
              </w:rPr>
              <w:t>12c</w:t>
            </w:r>
          </w:p>
        </w:tc>
        <w:tc>
          <w:tcPr>
            <w:tcW w:type="dxa" w:w="3096"/>
            <w:vAlign w:val="center"/>
          </w:tcPr>
          <w:p>
            <w:pPr>
              <w:spacing w:after="0"/>
            </w:pPr>
            <w:r/>
            <w:r>
              <w:rPr>
                <w:rFonts w:ascii="Arial" w:hAnsi="Arial"/>
                <w:b w:val="0"/>
                <w:sz w:val="16"/>
              </w:rPr>
              <w:t>Outpatient Bookings Team / patient</w:t>
            </w:r>
          </w:p>
        </w:tc>
        <w:tc>
          <w:tcPr>
            <w:tcW w:type="dxa" w:w="7272"/>
            <w:vAlign w:val="center"/>
          </w:tcPr>
          <w:p>
            <w:pPr>
              <w:spacing w:after="0"/>
            </w:pPr>
            <w:r/>
            <w:r>
              <w:rPr>
                <w:rFonts w:ascii="Arial" w:hAnsi="Arial"/>
                <w:b w:val="0"/>
                <w:sz w:val="16"/>
              </w:rPr>
              <w:t>If the patient asks for an alternative appointment, record the request and use the scheduling service to seek a suitable alternative.</w:t>
            </w:r>
          </w:p>
        </w:tc>
        <w:tc>
          <w:tcPr>
            <w:tcW w:type="dxa" w:w="4104"/>
            <w:vAlign w:val="center"/>
          </w:tcPr>
          <w:p>
            <w:pPr>
              <w:spacing w:after="0"/>
            </w:pPr>
            <w:r/>
            <w:r>
              <w:rPr>
                <w:rFonts w:ascii="Arial" w:hAnsi="Arial"/>
                <w:b w:val="0"/>
                <w:sz w:val="16"/>
              </w:rPr>
              <w:t>Alternative-appointment request, search attempts and revised booking/outcome recorded.</w:t>
            </w:r>
          </w:p>
        </w:tc>
      </w:tr>
      <w:tr>
        <w:trPr>
          <w:cantSplit/>
        </w:trPr>
        <w:tc>
          <w:tcPr>
            <w:tcW w:type="dxa" w:w="648"/>
            <w:vAlign w:val="center"/>
          </w:tcPr>
          <w:p>
            <w:pPr>
              <w:spacing w:after="0"/>
            </w:pPr>
            <w:r/>
            <w:r>
              <w:rPr>
                <w:rFonts w:ascii="Arial" w:hAnsi="Arial"/>
                <w:b w:val="0"/>
                <w:sz w:val="16"/>
              </w:rPr>
              <w:t>12d</w:t>
            </w:r>
          </w:p>
        </w:tc>
        <w:tc>
          <w:tcPr>
            <w:tcW w:type="dxa" w:w="3096"/>
            <w:vAlign w:val="center"/>
          </w:tcPr>
          <w:p>
            <w:pPr>
              <w:spacing w:after="0"/>
            </w:pPr>
            <w:r/>
            <w:r>
              <w:rPr>
                <w:rFonts w:ascii="Arial" w:hAnsi="Arial"/>
                <w:b w:val="0"/>
                <w:sz w:val="16"/>
              </w:rPr>
              <w:t>Outpatient Bookings Team / Consultant / pathway team</w:t>
            </w:r>
          </w:p>
        </w:tc>
        <w:tc>
          <w:tcPr>
            <w:tcW w:type="dxa" w:w="7272"/>
            <w:vAlign w:val="center"/>
          </w:tcPr>
          <w:p>
            <w:pPr>
              <w:spacing w:after="0"/>
            </w:pPr>
            <w:r/>
            <w:r>
              <w:rPr>
                <w:rFonts w:ascii="Arial" w:hAnsi="Arial"/>
                <w:b w:val="0"/>
                <w:sz w:val="16"/>
              </w:rPr>
              <w:t>If the referral is urgent, prioritise prompt handling rather than normal administrative timescales. Escalate where normal appointment availability is unsuitable.</w:t>
            </w:r>
          </w:p>
        </w:tc>
        <w:tc>
          <w:tcPr>
            <w:tcW w:type="dxa" w:w="4104"/>
            <w:vAlign w:val="center"/>
          </w:tcPr>
          <w:p>
            <w:pPr>
              <w:spacing w:after="0"/>
            </w:pPr>
            <w:r/>
            <w:r>
              <w:rPr>
                <w:rFonts w:ascii="Arial" w:hAnsi="Arial"/>
                <w:b w:val="0"/>
                <w:sz w:val="16"/>
              </w:rPr>
              <w:t>Urgency flag, action/escalation and appointment outcome recorded.</w:t>
            </w:r>
          </w:p>
        </w:tc>
      </w:tr>
      <w:tr>
        <w:trPr>
          <w:cantSplit/>
        </w:trPr>
        <w:tc>
          <w:tcPr>
            <w:tcW w:type="dxa" w:w="648"/>
            <w:vAlign w:val="center"/>
          </w:tcPr>
          <w:p>
            <w:pPr>
              <w:spacing w:after="0"/>
            </w:pPr>
            <w:r/>
            <w:r>
              <w:rPr>
                <w:rFonts w:ascii="Arial" w:hAnsi="Arial"/>
                <w:b w:val="0"/>
                <w:sz w:val="16"/>
              </w:rPr>
              <w:t>12e</w:t>
            </w:r>
          </w:p>
        </w:tc>
        <w:tc>
          <w:tcPr>
            <w:tcW w:type="dxa" w:w="3096"/>
            <w:vAlign w:val="center"/>
          </w:tcPr>
          <w:p>
            <w:pPr>
              <w:spacing w:after="0"/>
            </w:pPr>
            <w:r/>
            <w:r>
              <w:rPr>
                <w:rFonts w:ascii="Arial" w:hAnsi="Arial"/>
                <w:b w:val="0"/>
                <w:sz w:val="16"/>
              </w:rPr>
              <w:t>Outpatient Bookings Team / relevant pathway team</w:t>
            </w:r>
          </w:p>
        </w:tc>
        <w:tc>
          <w:tcPr>
            <w:tcW w:type="dxa" w:w="7272"/>
            <w:vAlign w:val="center"/>
          </w:tcPr>
          <w:p>
            <w:pPr>
              <w:spacing w:after="0"/>
            </w:pPr>
            <w:r/>
            <w:r>
              <w:rPr>
                <w:rFonts w:ascii="Arial" w:hAnsi="Arial"/>
                <w:b w:val="0"/>
                <w:sz w:val="16"/>
              </w:rPr>
              <w:t>If no suitable appointment is available in the Consultant requested period, do not silently book outside it; highlight and refer the case.</w:t>
            </w:r>
          </w:p>
        </w:tc>
        <w:tc>
          <w:tcPr>
            <w:tcW w:type="dxa" w:w="4104"/>
            <w:vAlign w:val="center"/>
          </w:tcPr>
          <w:p>
            <w:pPr>
              <w:spacing w:after="0"/>
            </w:pPr>
            <w:r/>
            <w:r>
              <w:rPr>
                <w:rFonts w:ascii="Arial" w:hAnsi="Arial"/>
                <w:b w:val="0"/>
                <w:sz w:val="16"/>
              </w:rPr>
              <w:t>No-suitable-appointment exception, scheduling attempts and pathway referral recorded.</w:t>
            </w:r>
          </w:p>
        </w:tc>
      </w:tr>
      <w:tr>
        <w:trPr>
          <w:cantSplit/>
        </w:trPr>
        <w:tc>
          <w:tcPr>
            <w:tcW w:type="dxa" w:w="648"/>
            <w:vAlign w:val="center"/>
          </w:tcPr>
          <w:p>
            <w:pPr>
              <w:spacing w:after="0"/>
            </w:pPr>
            <w:r/>
            <w:r>
              <w:rPr>
                <w:rFonts w:ascii="Arial" w:hAnsi="Arial"/>
                <w:b w:val="0"/>
                <w:sz w:val="16"/>
              </w:rPr>
              <w:t>13</w:t>
            </w:r>
          </w:p>
        </w:tc>
        <w:tc>
          <w:tcPr>
            <w:tcW w:type="dxa" w:w="3096"/>
            <w:vAlign w:val="center"/>
          </w:tcPr>
          <w:p>
            <w:pPr>
              <w:spacing w:after="0"/>
            </w:pPr>
            <w:r/>
            <w:r>
              <w:rPr>
                <w:rFonts w:ascii="Arial" w:hAnsi="Arial"/>
                <w:b w:val="0"/>
                <w:sz w:val="16"/>
              </w:rPr>
              <w:t>Outpatient Bookings Team</w:t>
            </w:r>
          </w:p>
        </w:tc>
        <w:tc>
          <w:tcPr>
            <w:tcW w:type="dxa" w:w="7272"/>
            <w:vAlign w:val="center"/>
          </w:tcPr>
          <w:p>
            <w:pPr>
              <w:spacing w:after="0"/>
            </w:pPr>
            <w:r/>
            <w:r>
              <w:rPr>
                <w:rFonts w:ascii="Arial" w:hAnsi="Arial"/>
                <w:b w:val="0"/>
                <w:sz w:val="16"/>
              </w:rPr>
              <w:t>Complete the booking path when appointment and required communication actions are recorded; preserve the audit trail for later monitoring.</w:t>
            </w:r>
          </w:p>
        </w:tc>
        <w:tc>
          <w:tcPr>
            <w:tcW w:type="dxa" w:w="4104"/>
            <w:vAlign w:val="center"/>
          </w:tcPr>
          <w:p>
            <w:pPr>
              <w:spacing w:after="0"/>
            </w:pPr>
            <w:r/>
            <w:r>
              <w:rPr>
                <w:rFonts w:ascii="Arial" w:hAnsi="Arial"/>
                <w:b w:val="0"/>
                <w:sz w:val="16"/>
              </w:rPr>
              <w:t>Final appointment status, contact/correspondence history and audit events updated.</w:t>
            </w:r>
          </w:p>
        </w:tc>
      </w:tr>
    </w:tbl>
    <w:p/>
    <w:p>
      <w:pPr>
        <w:pStyle w:val="Heading1"/>
      </w:pPr>
      <w:r>
        <w:t>5. Responsibilities and Authority Boundaries</w:t>
      </w:r>
    </w:p>
    <w:p>
      <w:r>
        <w:t>R = Responsible for performing the work; A = Accountable authority for the decision or outcome; C = Consulted; I = Informed. Where two functions share a row, the wording identifies their distinct authority.</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2448"/>
            <w:vAlign w:val="center"/>
            <w:shd w:fill="1F4E78"/>
          </w:tcPr>
          <w:p>
            <w:pPr>
              <w:spacing w:after="0"/>
            </w:pPr>
            <w:r/>
            <w:r>
              <w:rPr>
                <w:rFonts w:ascii="Arial" w:hAnsi="Arial"/>
                <w:b/>
                <w:color w:val="FFFFFF"/>
                <w:sz w:val="16"/>
              </w:rPr>
              <w:t>Main process</w:t>
            </w:r>
          </w:p>
        </w:tc>
        <w:tc>
          <w:tcPr>
            <w:tcW w:type="dxa" w:w="2232"/>
            <w:vAlign w:val="center"/>
            <w:shd w:fill="1F4E78"/>
          </w:tcPr>
          <w:p>
            <w:pPr>
              <w:spacing w:after="0"/>
            </w:pPr>
            <w:r/>
            <w:r>
              <w:rPr>
                <w:rFonts w:ascii="Arial" w:hAnsi="Arial"/>
                <w:b/>
                <w:color w:val="FFFFFF"/>
                <w:sz w:val="16"/>
              </w:rPr>
              <w:t>R</w:t>
            </w:r>
          </w:p>
        </w:tc>
        <w:tc>
          <w:tcPr>
            <w:tcW w:type="dxa" w:w="2520"/>
            <w:vAlign w:val="center"/>
            <w:shd w:fill="1F4E78"/>
          </w:tcPr>
          <w:p>
            <w:pPr>
              <w:spacing w:after="0"/>
            </w:pPr>
            <w:r/>
            <w:r>
              <w:rPr>
                <w:rFonts w:ascii="Arial" w:hAnsi="Arial"/>
                <w:b/>
                <w:color w:val="FFFFFF"/>
                <w:sz w:val="16"/>
              </w:rPr>
              <w:t>A</w:t>
            </w:r>
          </w:p>
        </w:tc>
        <w:tc>
          <w:tcPr>
            <w:tcW w:type="dxa" w:w="2520"/>
            <w:vAlign w:val="center"/>
            <w:shd w:fill="1F4E78"/>
          </w:tcPr>
          <w:p>
            <w:pPr>
              <w:spacing w:after="0"/>
            </w:pPr>
            <w:r/>
            <w:r>
              <w:rPr>
                <w:rFonts w:ascii="Arial" w:hAnsi="Arial"/>
                <w:b/>
                <w:color w:val="FFFFFF"/>
                <w:sz w:val="16"/>
              </w:rPr>
              <w:t>C</w:t>
            </w:r>
          </w:p>
        </w:tc>
        <w:tc>
          <w:tcPr>
            <w:tcW w:type="dxa" w:w="2160"/>
            <w:vAlign w:val="center"/>
            <w:shd w:fill="1F4E78"/>
          </w:tcPr>
          <w:p>
            <w:pPr>
              <w:spacing w:after="0"/>
            </w:pPr>
            <w:r/>
            <w:r>
              <w:rPr>
                <w:rFonts w:ascii="Arial" w:hAnsi="Arial"/>
                <w:b/>
                <w:color w:val="FFFFFF"/>
                <w:sz w:val="16"/>
              </w:rPr>
              <w:t>I</w:t>
            </w:r>
          </w:p>
        </w:tc>
        <w:tc>
          <w:tcPr>
            <w:tcW w:type="dxa" w:w="3240"/>
            <w:vAlign w:val="center"/>
            <w:shd w:fill="1F4E78"/>
          </w:tcPr>
          <w:p>
            <w:pPr>
              <w:spacing w:after="0"/>
            </w:pPr>
            <w:r/>
            <w:r>
              <w:rPr>
                <w:rFonts w:ascii="Arial" w:hAnsi="Arial"/>
                <w:b/>
                <w:color w:val="FFFFFF"/>
                <w:sz w:val="16"/>
              </w:rPr>
              <w:t>Authority boundary / control</w:t>
            </w:r>
          </w:p>
        </w:tc>
      </w:tr>
      <w:tr>
        <w:trPr>
          <w:cantSplit/>
        </w:trPr>
        <w:tc>
          <w:tcPr>
            <w:tcW w:type="dxa" w:w="2448"/>
            <w:vAlign w:val="center"/>
          </w:tcPr>
          <w:p>
            <w:pPr>
              <w:spacing w:after="0"/>
            </w:pPr>
            <w:r/>
            <w:r>
              <w:rPr>
                <w:rFonts w:ascii="Arial" w:hAnsi="Arial"/>
                <w:b w:val="0"/>
                <w:sz w:val="16"/>
              </w:rPr>
              <w:t>Referral completeness checking</w:t>
            </w:r>
          </w:p>
        </w:tc>
        <w:tc>
          <w:tcPr>
            <w:tcW w:type="dxa" w:w="2232"/>
            <w:vAlign w:val="center"/>
          </w:tcPr>
          <w:p>
            <w:pPr>
              <w:spacing w:after="0"/>
            </w:pPr>
            <w:r/>
            <w:r>
              <w:rPr>
                <w:rFonts w:ascii="Arial" w:hAnsi="Arial"/>
                <w:b w:val="0"/>
                <w:sz w:val="16"/>
              </w:rPr>
              <w:t>Medical Secretaries</w:t>
            </w:r>
          </w:p>
        </w:tc>
        <w:tc>
          <w:tcPr>
            <w:tcW w:type="dxa" w:w="2520"/>
            <w:vAlign w:val="center"/>
          </w:tcPr>
          <w:p>
            <w:pPr>
              <w:spacing w:after="0"/>
            </w:pPr>
            <w:r/>
            <w:r>
              <w:rPr>
                <w:rFonts w:ascii="Arial" w:hAnsi="Arial"/>
                <w:b w:val="0"/>
                <w:sz w:val="16"/>
              </w:rPr>
              <w:t>Medical Secretaries</w:t>
            </w:r>
          </w:p>
        </w:tc>
        <w:tc>
          <w:tcPr>
            <w:tcW w:type="dxa" w:w="2520"/>
            <w:vAlign w:val="center"/>
          </w:tcPr>
          <w:p>
            <w:pPr>
              <w:spacing w:after="0"/>
            </w:pPr>
            <w:r/>
            <w:r>
              <w:rPr>
                <w:rFonts w:ascii="Arial" w:hAnsi="Arial"/>
                <w:b w:val="0"/>
                <w:sz w:val="16"/>
              </w:rPr>
              <w:t>Referring organisation</w:t>
            </w:r>
          </w:p>
        </w:tc>
        <w:tc>
          <w:tcPr>
            <w:tcW w:type="dxa" w:w="2160"/>
            <w:vAlign w:val="center"/>
          </w:tcPr>
          <w:p>
            <w:pPr>
              <w:spacing w:after="0"/>
            </w:pPr>
            <w:r/>
            <w:r>
              <w:rPr>
                <w:rFonts w:ascii="Arial" w:hAnsi="Arial"/>
                <w:b w:val="0"/>
                <w:sz w:val="16"/>
              </w:rPr>
              <w:t>Consultant</w:t>
            </w:r>
          </w:p>
        </w:tc>
        <w:tc>
          <w:tcPr>
            <w:tcW w:type="dxa" w:w="3240"/>
            <w:vAlign w:val="center"/>
          </w:tcPr>
          <w:p>
            <w:pPr>
              <w:spacing w:after="0"/>
            </w:pPr>
            <w:r/>
            <w:r>
              <w:rPr>
                <w:rFonts w:ascii="Arial" w:hAnsi="Arial"/>
                <w:b w:val="0"/>
                <w:sz w:val="16"/>
              </w:rPr>
              <w:t>Medical Secretaries may check documents and request missing information, but must not make clinical referral decisions.</w:t>
            </w:r>
          </w:p>
        </w:tc>
      </w:tr>
      <w:tr>
        <w:trPr>
          <w:cantSplit/>
        </w:trPr>
        <w:tc>
          <w:tcPr>
            <w:tcW w:type="dxa" w:w="2448"/>
            <w:vAlign w:val="center"/>
          </w:tcPr>
          <w:p>
            <w:pPr>
              <w:spacing w:after="0"/>
            </w:pPr>
            <w:r/>
            <w:r>
              <w:rPr>
                <w:rFonts w:ascii="Arial" w:hAnsi="Arial"/>
                <w:b w:val="0"/>
                <w:sz w:val="16"/>
              </w:rPr>
              <w:t>Referral clinical decision</w:t>
            </w:r>
          </w:p>
        </w:tc>
        <w:tc>
          <w:tcPr>
            <w:tcW w:type="dxa" w:w="2232"/>
            <w:vAlign w:val="center"/>
          </w:tcPr>
          <w:p>
            <w:pPr>
              <w:spacing w:after="0"/>
            </w:pPr>
            <w:r/>
            <w:r>
              <w:rPr>
                <w:rFonts w:ascii="Arial" w:hAnsi="Arial"/>
                <w:b w:val="0"/>
                <w:sz w:val="16"/>
              </w:rPr>
              <w:t>Consultant</w:t>
            </w:r>
          </w:p>
        </w:tc>
        <w:tc>
          <w:tcPr>
            <w:tcW w:type="dxa" w:w="2520"/>
            <w:vAlign w:val="center"/>
          </w:tcPr>
          <w:p>
            <w:pPr>
              <w:spacing w:after="0"/>
            </w:pPr>
            <w:r/>
            <w:r>
              <w:rPr>
                <w:rFonts w:ascii="Arial" w:hAnsi="Arial"/>
                <w:b w:val="0"/>
                <w:sz w:val="16"/>
              </w:rPr>
              <w:t>Authorised Consultant</w:t>
            </w:r>
          </w:p>
        </w:tc>
        <w:tc>
          <w:tcPr>
            <w:tcW w:type="dxa" w:w="2520"/>
            <w:vAlign w:val="center"/>
          </w:tcPr>
          <w:p>
            <w:pPr>
              <w:spacing w:after="0"/>
            </w:pPr>
            <w:r/>
            <w:r>
              <w:rPr>
                <w:rFonts w:ascii="Arial" w:hAnsi="Arial"/>
                <w:b w:val="0"/>
                <w:sz w:val="16"/>
              </w:rPr>
              <w:t>Medical Secretaries</w:t>
            </w:r>
          </w:p>
        </w:tc>
        <w:tc>
          <w:tcPr>
            <w:tcW w:type="dxa" w:w="2160"/>
            <w:vAlign w:val="center"/>
          </w:tcPr>
          <w:p>
            <w:pPr>
              <w:spacing w:after="0"/>
            </w:pPr>
            <w:r/>
            <w:r>
              <w:rPr>
                <w:rFonts w:ascii="Arial" w:hAnsi="Arial"/>
                <w:b w:val="0"/>
                <w:sz w:val="16"/>
              </w:rPr>
              <w:t>Referring organisation; Outpatient Bookings Team when accepted</w:t>
            </w:r>
          </w:p>
        </w:tc>
        <w:tc>
          <w:tcPr>
            <w:tcW w:type="dxa" w:w="3240"/>
            <w:vAlign w:val="center"/>
          </w:tcPr>
          <w:p>
            <w:pPr>
              <w:spacing w:after="0"/>
            </w:pPr>
            <w:r/>
            <w:r>
              <w:rPr>
                <w:rFonts w:ascii="Arial" w:hAnsi="Arial"/>
                <w:b w:val="0"/>
                <w:sz w:val="16"/>
              </w:rPr>
              <w:t>Only an authorised Consultant may accept, reject, redirect or clinically assess a referral.</w:t>
            </w:r>
          </w:p>
        </w:tc>
      </w:tr>
      <w:tr>
        <w:trPr>
          <w:cantSplit/>
        </w:trPr>
        <w:tc>
          <w:tcPr>
            <w:tcW w:type="dxa" w:w="2448"/>
            <w:vAlign w:val="center"/>
          </w:tcPr>
          <w:p>
            <w:pPr>
              <w:spacing w:after="0"/>
            </w:pPr>
            <w:r/>
            <w:r>
              <w:rPr>
                <w:rFonts w:ascii="Arial" w:hAnsi="Arial"/>
                <w:b w:val="0"/>
                <w:sz w:val="16"/>
              </w:rPr>
              <w:t>New-patient appointment booking</w:t>
            </w:r>
          </w:p>
        </w:tc>
        <w:tc>
          <w:tcPr>
            <w:tcW w:type="dxa" w:w="2232"/>
            <w:vAlign w:val="center"/>
          </w:tcPr>
          <w:p>
            <w:pPr>
              <w:spacing w:after="0"/>
            </w:pPr>
            <w:r/>
            <w:r>
              <w:rPr>
                <w:rFonts w:ascii="Arial" w:hAnsi="Arial"/>
                <w:b w:val="0"/>
                <w:sz w:val="16"/>
              </w:rPr>
              <w:t>Outpatient Bookings Team</w:t>
            </w:r>
          </w:p>
        </w:tc>
        <w:tc>
          <w:tcPr>
            <w:tcW w:type="dxa" w:w="2520"/>
            <w:vAlign w:val="center"/>
          </w:tcPr>
          <w:p>
            <w:pPr>
              <w:spacing w:after="0"/>
            </w:pPr>
            <w:r/>
            <w:r>
              <w:rPr>
                <w:rFonts w:ascii="Arial" w:hAnsi="Arial"/>
                <w:b w:val="0"/>
                <w:sz w:val="16"/>
              </w:rPr>
              <w:t>Outpatient Bookings Team</w:t>
            </w:r>
          </w:p>
        </w:tc>
        <w:tc>
          <w:tcPr>
            <w:tcW w:type="dxa" w:w="2520"/>
            <w:vAlign w:val="center"/>
          </w:tcPr>
          <w:p>
            <w:pPr>
              <w:spacing w:after="0"/>
            </w:pPr>
            <w:r/>
            <w:r>
              <w:rPr>
                <w:rFonts w:ascii="Arial" w:hAnsi="Arial"/>
                <w:b w:val="0"/>
                <w:sz w:val="16"/>
              </w:rPr>
              <w:t>Consultant for requested priority/timeframe</w:t>
            </w:r>
          </w:p>
        </w:tc>
        <w:tc>
          <w:tcPr>
            <w:tcW w:type="dxa" w:w="2160"/>
            <w:vAlign w:val="center"/>
          </w:tcPr>
          <w:p>
            <w:pPr>
              <w:spacing w:after="0"/>
            </w:pPr>
            <w:r/>
            <w:r>
              <w:rPr>
                <w:rFonts w:ascii="Arial" w:hAnsi="Arial"/>
                <w:b w:val="0"/>
                <w:sz w:val="16"/>
              </w:rPr>
              <w:t>Patient; Medical Secretaries</w:t>
            </w:r>
          </w:p>
        </w:tc>
        <w:tc>
          <w:tcPr>
            <w:tcW w:type="dxa" w:w="3240"/>
            <w:vAlign w:val="center"/>
          </w:tcPr>
          <w:p>
            <w:pPr>
              <w:spacing w:after="0"/>
            </w:pPr>
            <w:r/>
            <w:r>
              <w:rPr>
                <w:rFonts w:ascii="Arial" w:hAnsi="Arial"/>
                <w:b w:val="0"/>
                <w:sz w:val="16"/>
              </w:rPr>
              <w:t>Booking request is valid only after authorised acceptance; use external scheduling and record all contact outcomes.</w:t>
            </w:r>
          </w:p>
        </w:tc>
      </w:tr>
      <w:tr>
        <w:trPr>
          <w:cantSplit/>
        </w:trPr>
        <w:tc>
          <w:tcPr>
            <w:tcW w:type="dxa" w:w="2448"/>
            <w:vAlign w:val="center"/>
          </w:tcPr>
          <w:p>
            <w:pPr>
              <w:spacing w:after="0"/>
            </w:pPr>
            <w:r/>
            <w:r>
              <w:rPr>
                <w:rFonts w:ascii="Arial" w:hAnsi="Arial"/>
                <w:b w:val="0"/>
                <w:sz w:val="16"/>
              </w:rPr>
              <w:t>New-patient consultation and treatment request</w:t>
            </w:r>
          </w:p>
        </w:tc>
        <w:tc>
          <w:tcPr>
            <w:tcW w:type="dxa" w:w="2232"/>
            <w:vAlign w:val="center"/>
          </w:tcPr>
          <w:p>
            <w:pPr>
              <w:spacing w:after="0"/>
            </w:pPr>
            <w:r/>
            <w:r>
              <w:rPr>
                <w:rFonts w:ascii="Arial" w:hAnsi="Arial"/>
                <w:b w:val="0"/>
                <w:sz w:val="16"/>
              </w:rPr>
              <w:t>Consultant and relevant clinical team</w:t>
            </w:r>
          </w:p>
        </w:tc>
        <w:tc>
          <w:tcPr>
            <w:tcW w:type="dxa" w:w="2520"/>
            <w:vAlign w:val="center"/>
          </w:tcPr>
          <w:p>
            <w:pPr>
              <w:spacing w:after="0"/>
            </w:pPr>
            <w:r/>
            <w:r>
              <w:rPr>
                <w:rFonts w:ascii="Arial" w:hAnsi="Arial"/>
                <w:b w:val="0"/>
                <w:sz w:val="16"/>
              </w:rPr>
              <w:t>Authorised Consultant / appropriate authorised clinical professional</w:t>
            </w:r>
          </w:p>
        </w:tc>
        <w:tc>
          <w:tcPr>
            <w:tcW w:type="dxa" w:w="2520"/>
            <w:vAlign w:val="center"/>
          </w:tcPr>
          <w:p>
            <w:pPr>
              <w:spacing w:after="0"/>
            </w:pPr>
            <w:r/>
            <w:r>
              <w:rPr>
                <w:rFonts w:ascii="Arial" w:hAnsi="Arial"/>
                <w:b w:val="0"/>
                <w:sz w:val="16"/>
              </w:rPr>
              <w:t>Patient</w:t>
            </w:r>
          </w:p>
        </w:tc>
        <w:tc>
          <w:tcPr>
            <w:tcW w:type="dxa" w:w="2160"/>
            <w:vAlign w:val="center"/>
          </w:tcPr>
          <w:p>
            <w:pPr>
              <w:spacing w:after="0"/>
            </w:pPr>
            <w:r/>
            <w:r>
              <w:rPr>
                <w:rFonts w:ascii="Arial" w:hAnsi="Arial"/>
                <w:b w:val="0"/>
                <w:sz w:val="16"/>
              </w:rPr>
              <w:t>Treatment Bookings Team; Finance Team as applicable</w:t>
            </w:r>
          </w:p>
        </w:tc>
        <w:tc>
          <w:tcPr>
            <w:tcW w:type="dxa" w:w="3240"/>
            <w:vAlign w:val="center"/>
          </w:tcPr>
          <w:p>
            <w:pPr>
              <w:spacing w:after="0"/>
            </w:pPr>
            <w:r/>
            <w:r>
              <w:rPr>
                <w:rFonts w:ascii="Arial" w:hAnsi="Arial"/>
                <w:b w:val="0"/>
                <w:sz w:val="16"/>
              </w:rPr>
              <w:t>Clinical team records diagnosis, options and consent; treatment request must be complete and authorised.</w:t>
            </w:r>
          </w:p>
        </w:tc>
      </w:tr>
      <w:tr>
        <w:trPr>
          <w:cantSplit/>
        </w:trPr>
        <w:tc>
          <w:tcPr>
            <w:tcW w:type="dxa" w:w="2448"/>
            <w:vAlign w:val="center"/>
          </w:tcPr>
          <w:p>
            <w:pPr>
              <w:spacing w:after="0"/>
            </w:pPr>
            <w:r/>
            <w:r>
              <w:rPr>
                <w:rFonts w:ascii="Arial" w:hAnsi="Arial"/>
                <w:b w:val="0"/>
                <w:sz w:val="16"/>
              </w:rPr>
              <w:t>Treatment or chemotherapy booking</w:t>
            </w:r>
          </w:p>
        </w:tc>
        <w:tc>
          <w:tcPr>
            <w:tcW w:type="dxa" w:w="2232"/>
            <w:vAlign w:val="center"/>
          </w:tcPr>
          <w:p>
            <w:pPr>
              <w:spacing w:after="0"/>
            </w:pPr>
            <w:r/>
            <w:r>
              <w:rPr>
                <w:rFonts w:ascii="Arial" w:hAnsi="Arial"/>
                <w:b w:val="0"/>
                <w:sz w:val="16"/>
              </w:rPr>
              <w:t>Treatment and Chemotherapy Bookings Team</w:t>
            </w:r>
          </w:p>
        </w:tc>
        <w:tc>
          <w:tcPr>
            <w:tcW w:type="dxa" w:w="2520"/>
            <w:vAlign w:val="center"/>
          </w:tcPr>
          <w:p>
            <w:pPr>
              <w:spacing w:after="0"/>
            </w:pPr>
            <w:r/>
            <w:r>
              <w:rPr>
                <w:rFonts w:ascii="Arial" w:hAnsi="Arial"/>
                <w:b w:val="0"/>
                <w:sz w:val="16"/>
              </w:rPr>
              <w:t>Treatment and Chemotherapy Bookings Team</w:t>
            </w:r>
          </w:p>
        </w:tc>
        <w:tc>
          <w:tcPr>
            <w:tcW w:type="dxa" w:w="2520"/>
            <w:vAlign w:val="center"/>
          </w:tcPr>
          <w:p>
            <w:pPr>
              <w:spacing w:after="0"/>
            </w:pPr>
            <w:r/>
            <w:r>
              <w:rPr>
                <w:rFonts w:ascii="Arial" w:hAnsi="Arial"/>
                <w:b w:val="0"/>
                <w:sz w:val="16"/>
              </w:rPr>
              <w:t>Authorised clinician; Finance Team; external services</w:t>
            </w:r>
          </w:p>
        </w:tc>
        <w:tc>
          <w:tcPr>
            <w:tcW w:type="dxa" w:w="2160"/>
            <w:vAlign w:val="center"/>
          </w:tcPr>
          <w:p>
            <w:pPr>
              <w:spacing w:after="0"/>
            </w:pPr>
            <w:r/>
            <w:r>
              <w:rPr>
                <w:rFonts w:ascii="Arial" w:hAnsi="Arial"/>
                <w:b w:val="0"/>
                <w:sz w:val="16"/>
              </w:rPr>
              <w:t>Patient; pathway team</w:t>
            </w:r>
          </w:p>
        </w:tc>
        <w:tc>
          <w:tcPr>
            <w:tcW w:type="dxa" w:w="3240"/>
            <w:vAlign w:val="center"/>
          </w:tcPr>
          <w:p>
            <w:pPr>
              <w:spacing w:after="0"/>
            </w:pPr>
            <w:r/>
            <w:r>
              <w:rPr>
                <w:rFonts w:ascii="Arial" w:hAnsi="Arial"/>
                <w:b w:val="0"/>
                <w:sz w:val="16"/>
              </w:rPr>
              <w:t>Administrative staff must not process an unauthorised Treatment Booking Request or create duplicate appointments.</w:t>
            </w:r>
          </w:p>
        </w:tc>
      </w:tr>
      <w:tr>
        <w:trPr>
          <w:cantSplit/>
        </w:trPr>
        <w:tc>
          <w:tcPr>
            <w:tcW w:type="dxa" w:w="2448"/>
            <w:vAlign w:val="center"/>
          </w:tcPr>
          <w:p>
            <w:pPr>
              <w:spacing w:after="0"/>
            </w:pPr>
            <w:r/>
            <w:r>
              <w:rPr>
                <w:rFonts w:ascii="Arial" w:hAnsi="Arial"/>
                <w:b w:val="0"/>
                <w:sz w:val="16"/>
              </w:rPr>
              <w:t>Funding and payment decision</w:t>
            </w:r>
          </w:p>
        </w:tc>
        <w:tc>
          <w:tcPr>
            <w:tcW w:type="dxa" w:w="2232"/>
            <w:vAlign w:val="center"/>
          </w:tcPr>
          <w:p>
            <w:pPr>
              <w:spacing w:after="0"/>
            </w:pPr>
            <w:r/>
            <w:r>
              <w:rPr>
                <w:rFonts w:ascii="Arial" w:hAnsi="Arial"/>
                <w:b w:val="0"/>
                <w:sz w:val="16"/>
              </w:rPr>
              <w:t>Finance Team</w:t>
            </w:r>
          </w:p>
        </w:tc>
        <w:tc>
          <w:tcPr>
            <w:tcW w:type="dxa" w:w="2520"/>
            <w:vAlign w:val="center"/>
          </w:tcPr>
          <w:p>
            <w:pPr>
              <w:spacing w:after="0"/>
            </w:pPr>
            <w:r/>
            <w:r>
              <w:rPr>
                <w:rFonts w:ascii="Arial" w:hAnsi="Arial"/>
                <w:b w:val="0"/>
                <w:sz w:val="16"/>
              </w:rPr>
              <w:t>Authorised Finance member for funding/payment/refund decision within authority</w:t>
            </w:r>
          </w:p>
        </w:tc>
        <w:tc>
          <w:tcPr>
            <w:tcW w:type="dxa" w:w="2520"/>
            <w:vAlign w:val="center"/>
          </w:tcPr>
          <w:p>
            <w:pPr>
              <w:spacing w:after="0"/>
            </w:pPr>
            <w:r/>
            <w:r>
              <w:rPr>
                <w:rFonts w:ascii="Arial" w:hAnsi="Arial"/>
                <w:b w:val="0"/>
                <w:sz w:val="16"/>
              </w:rPr>
              <w:t>Funding organisation/insurer; clinical staff for treatment facts</w:t>
            </w:r>
          </w:p>
        </w:tc>
        <w:tc>
          <w:tcPr>
            <w:tcW w:type="dxa" w:w="2160"/>
            <w:vAlign w:val="center"/>
          </w:tcPr>
          <w:p>
            <w:pPr>
              <w:spacing w:after="0"/>
            </w:pPr>
            <w:r/>
            <w:r>
              <w:rPr>
                <w:rFonts w:ascii="Arial" w:hAnsi="Arial"/>
                <w:b w:val="0"/>
                <w:sz w:val="16"/>
              </w:rPr>
              <w:t>Treatment Bookings Team; patient</w:t>
            </w:r>
          </w:p>
        </w:tc>
        <w:tc>
          <w:tcPr>
            <w:tcW w:type="dxa" w:w="3240"/>
            <w:vAlign w:val="center"/>
          </w:tcPr>
          <w:p>
            <w:pPr>
              <w:spacing w:after="0"/>
            </w:pPr>
            <w:r/>
            <w:r>
              <w:rPr>
                <w:rFonts w:ascii="Arial" w:hAnsi="Arial"/>
                <w:b w:val="0"/>
                <w:sz w:val="16"/>
              </w:rPr>
              <w:t>Finance makes financial decisions but does not decide clinical necessity.</w:t>
            </w:r>
          </w:p>
        </w:tc>
      </w:tr>
      <w:tr>
        <w:trPr>
          <w:cantSplit/>
        </w:trPr>
        <w:tc>
          <w:tcPr>
            <w:tcW w:type="dxa" w:w="2448"/>
            <w:vAlign w:val="center"/>
          </w:tcPr>
          <w:p>
            <w:pPr>
              <w:spacing w:after="0"/>
            </w:pPr>
            <w:r/>
            <w:r>
              <w:rPr>
                <w:rFonts w:ascii="Arial" w:hAnsi="Arial"/>
                <w:b w:val="0"/>
                <w:sz w:val="16"/>
              </w:rPr>
              <w:t>Payment exception and urgent treatment without confirmed payment</w:t>
            </w:r>
          </w:p>
        </w:tc>
        <w:tc>
          <w:tcPr>
            <w:tcW w:type="dxa" w:w="2232"/>
            <w:vAlign w:val="center"/>
          </w:tcPr>
          <w:p>
            <w:pPr>
              <w:spacing w:after="0"/>
            </w:pPr>
            <w:r/>
            <w:r>
              <w:rPr>
                <w:rFonts w:ascii="Arial" w:hAnsi="Arial"/>
                <w:b w:val="0"/>
                <w:sz w:val="16"/>
              </w:rPr>
              <w:t>Finance Team investigates payment; authorised clinical professional documents urgent clinical justification</w:t>
            </w:r>
          </w:p>
        </w:tc>
        <w:tc>
          <w:tcPr>
            <w:tcW w:type="dxa" w:w="2520"/>
            <w:vAlign w:val="center"/>
          </w:tcPr>
          <w:p>
            <w:pPr>
              <w:spacing w:after="0"/>
            </w:pPr>
            <w:r/>
            <w:r>
              <w:rPr>
                <w:rFonts w:ascii="Arial" w:hAnsi="Arial"/>
                <w:b w:val="0"/>
                <w:sz w:val="16"/>
              </w:rPr>
              <w:t>Finance for financial resolution; authorised clinical professional for clinical urgency decision</w:t>
            </w:r>
          </w:p>
        </w:tc>
        <w:tc>
          <w:tcPr>
            <w:tcW w:type="dxa" w:w="2520"/>
            <w:vAlign w:val="center"/>
          </w:tcPr>
          <w:p>
            <w:pPr>
              <w:spacing w:after="0"/>
            </w:pPr>
            <w:r/>
            <w:r>
              <w:rPr>
                <w:rFonts w:ascii="Arial" w:hAnsi="Arial"/>
                <w:b w:val="0"/>
                <w:sz w:val="16"/>
              </w:rPr>
              <w:t>PSP; Treatment Bookings Team</w:t>
            </w:r>
          </w:p>
        </w:tc>
        <w:tc>
          <w:tcPr>
            <w:tcW w:type="dxa" w:w="2160"/>
            <w:vAlign w:val="center"/>
          </w:tcPr>
          <w:p>
            <w:pPr>
              <w:spacing w:after="0"/>
            </w:pPr>
            <w:r/>
            <w:r>
              <w:rPr>
                <w:rFonts w:ascii="Arial" w:hAnsi="Arial"/>
                <w:b w:val="0"/>
                <w:sz w:val="16"/>
              </w:rPr>
              <w:t>Patient; management as appropriate</w:t>
            </w:r>
          </w:p>
        </w:tc>
        <w:tc>
          <w:tcPr>
            <w:tcW w:type="dxa" w:w="3240"/>
            <w:vAlign w:val="center"/>
          </w:tcPr>
          <w:p>
            <w:pPr>
              <w:spacing w:after="0"/>
            </w:pPr>
            <w:r/>
            <w:r>
              <w:rPr>
                <w:rFonts w:ascii="Arial" w:hAnsi="Arial"/>
                <w:b w:val="0"/>
                <w:sz w:val="16"/>
              </w:rPr>
              <w:t>Missing PSP confirmation is investigated, not automatically charged again. Urgent treatment requires recorded clinical justification and Finance follow-up.</w:t>
            </w:r>
          </w:p>
        </w:tc>
      </w:tr>
      <w:tr>
        <w:trPr>
          <w:cantSplit/>
        </w:trPr>
        <w:tc>
          <w:tcPr>
            <w:tcW w:type="dxa" w:w="2448"/>
            <w:vAlign w:val="center"/>
          </w:tcPr>
          <w:p>
            <w:pPr>
              <w:spacing w:after="0"/>
            </w:pPr>
            <w:r/>
            <w:r>
              <w:rPr>
                <w:rFonts w:ascii="Arial" w:hAnsi="Arial"/>
                <w:b w:val="0"/>
                <w:sz w:val="16"/>
              </w:rPr>
              <w:t>Refund</w:t>
            </w:r>
          </w:p>
        </w:tc>
        <w:tc>
          <w:tcPr>
            <w:tcW w:type="dxa" w:w="2232"/>
            <w:vAlign w:val="center"/>
          </w:tcPr>
          <w:p>
            <w:pPr>
              <w:spacing w:after="0"/>
            </w:pPr>
            <w:r/>
            <w:r>
              <w:rPr>
                <w:rFonts w:ascii="Arial" w:hAnsi="Arial"/>
                <w:b w:val="0"/>
                <w:sz w:val="16"/>
              </w:rPr>
              <w:t>Finance Team</w:t>
            </w:r>
          </w:p>
        </w:tc>
        <w:tc>
          <w:tcPr>
            <w:tcW w:type="dxa" w:w="2520"/>
            <w:vAlign w:val="center"/>
          </w:tcPr>
          <w:p>
            <w:pPr>
              <w:spacing w:after="0"/>
            </w:pPr>
            <w:r/>
            <w:r>
              <w:rPr>
                <w:rFonts w:ascii="Arial" w:hAnsi="Arial"/>
                <w:b w:val="0"/>
                <w:sz w:val="16"/>
              </w:rPr>
              <w:t>Authorised Finance member</w:t>
            </w:r>
          </w:p>
        </w:tc>
        <w:tc>
          <w:tcPr>
            <w:tcW w:type="dxa" w:w="2520"/>
            <w:vAlign w:val="center"/>
          </w:tcPr>
          <w:p>
            <w:pPr>
              <w:spacing w:after="0"/>
            </w:pPr>
            <w:r/>
            <w:r>
              <w:rPr>
                <w:rFonts w:ascii="Arial" w:hAnsi="Arial"/>
                <w:b w:val="0"/>
                <w:sz w:val="16"/>
              </w:rPr>
              <w:t>Clinical staff for treatment information; PSP</w:t>
            </w:r>
          </w:p>
        </w:tc>
        <w:tc>
          <w:tcPr>
            <w:tcW w:type="dxa" w:w="2160"/>
            <w:vAlign w:val="center"/>
          </w:tcPr>
          <w:p>
            <w:pPr>
              <w:spacing w:after="0"/>
            </w:pPr>
            <w:r/>
            <w:r>
              <w:rPr>
                <w:rFonts w:ascii="Arial" w:hAnsi="Arial"/>
                <w:b w:val="0"/>
                <w:sz w:val="16"/>
              </w:rPr>
              <w:t>Patient; bookings team</w:t>
            </w:r>
          </w:p>
        </w:tc>
        <w:tc>
          <w:tcPr>
            <w:tcW w:type="dxa" w:w="3240"/>
            <w:vAlign w:val="center"/>
          </w:tcPr>
          <w:p>
            <w:pPr>
              <w:spacing w:after="0"/>
            </w:pPr>
            <w:r/>
            <w:r>
              <w:rPr>
                <w:rFonts w:ascii="Arial" w:hAnsi="Arial"/>
                <w:b w:val="0"/>
                <w:sz w:val="16"/>
              </w:rPr>
              <w:t>Clinical staff cannot approve a refund unless they also have required financial authority.</w:t>
            </w:r>
          </w:p>
        </w:tc>
      </w:tr>
      <w:tr>
        <w:trPr>
          <w:cantSplit/>
        </w:trPr>
        <w:tc>
          <w:tcPr>
            <w:tcW w:type="dxa" w:w="2448"/>
            <w:vAlign w:val="center"/>
          </w:tcPr>
          <w:p>
            <w:pPr>
              <w:spacing w:after="0"/>
            </w:pPr>
            <w:r/>
            <w:r>
              <w:rPr>
                <w:rFonts w:ascii="Arial" w:hAnsi="Arial"/>
                <w:b w:val="0"/>
                <w:sz w:val="16"/>
              </w:rPr>
              <w:t>Treatment cycle review/modification</w:t>
            </w:r>
          </w:p>
        </w:tc>
        <w:tc>
          <w:tcPr>
            <w:tcW w:type="dxa" w:w="2232"/>
            <w:vAlign w:val="center"/>
          </w:tcPr>
          <w:p>
            <w:pPr>
              <w:spacing w:after="0"/>
            </w:pPr>
            <w:r/>
            <w:r>
              <w:rPr>
                <w:rFonts w:ascii="Arial" w:hAnsi="Arial"/>
                <w:b w:val="0"/>
                <w:sz w:val="16"/>
              </w:rPr>
              <w:t>Authorised clinical professional</w:t>
            </w:r>
          </w:p>
        </w:tc>
        <w:tc>
          <w:tcPr>
            <w:tcW w:type="dxa" w:w="2520"/>
            <w:vAlign w:val="center"/>
          </w:tcPr>
          <w:p>
            <w:pPr>
              <w:spacing w:after="0"/>
            </w:pPr>
            <w:r/>
            <w:r>
              <w:rPr>
                <w:rFonts w:ascii="Arial" w:hAnsi="Arial"/>
                <w:b w:val="0"/>
                <w:sz w:val="16"/>
              </w:rPr>
              <w:t>Authorised clinical professional</w:t>
            </w:r>
          </w:p>
        </w:tc>
        <w:tc>
          <w:tcPr>
            <w:tcW w:type="dxa" w:w="2520"/>
            <w:vAlign w:val="center"/>
          </w:tcPr>
          <w:p>
            <w:pPr>
              <w:spacing w:after="0"/>
            </w:pPr>
            <w:r/>
            <w:r>
              <w:rPr>
                <w:rFonts w:ascii="Arial" w:hAnsi="Arial"/>
                <w:b w:val="0"/>
                <w:sz w:val="16"/>
              </w:rPr>
              <w:t>Clinical team; Finance if financial impact</w:t>
            </w:r>
          </w:p>
        </w:tc>
        <w:tc>
          <w:tcPr>
            <w:tcW w:type="dxa" w:w="2160"/>
            <w:vAlign w:val="center"/>
          </w:tcPr>
          <w:p>
            <w:pPr>
              <w:spacing w:after="0"/>
            </w:pPr>
            <w:r/>
            <w:r>
              <w:rPr>
                <w:rFonts w:ascii="Arial" w:hAnsi="Arial"/>
                <w:b w:val="0"/>
                <w:sz w:val="16"/>
              </w:rPr>
              <w:t>Treatment Bookings Team; patient</w:t>
            </w:r>
          </w:p>
        </w:tc>
        <w:tc>
          <w:tcPr>
            <w:tcW w:type="dxa" w:w="3240"/>
            <w:vAlign w:val="center"/>
          </w:tcPr>
          <w:p>
            <w:pPr>
              <w:spacing w:after="0"/>
            </w:pPr>
            <w:r/>
            <w:r>
              <w:rPr>
                <w:rFonts w:ascii="Arial" w:hAnsi="Arial"/>
                <w:b w:val="0"/>
                <w:sz w:val="16"/>
              </w:rPr>
              <w:t>Only clinical professionals decide continue, delay or change treatment. Informal change requests must not be processed.</w:t>
            </w:r>
          </w:p>
        </w:tc>
      </w:tr>
      <w:tr>
        <w:trPr>
          <w:cantSplit/>
        </w:trPr>
        <w:tc>
          <w:tcPr>
            <w:tcW w:type="dxa" w:w="2448"/>
            <w:vAlign w:val="center"/>
          </w:tcPr>
          <w:p>
            <w:pPr>
              <w:spacing w:after="0"/>
            </w:pPr>
            <w:r/>
            <w:r>
              <w:rPr>
                <w:rFonts w:ascii="Arial" w:hAnsi="Arial"/>
                <w:b w:val="0"/>
                <w:sz w:val="16"/>
              </w:rPr>
              <w:t>Patient enquiry classification and response</w:t>
            </w:r>
          </w:p>
        </w:tc>
        <w:tc>
          <w:tcPr>
            <w:tcW w:type="dxa" w:w="2232"/>
            <w:vAlign w:val="center"/>
          </w:tcPr>
          <w:p>
            <w:pPr>
              <w:spacing w:after="0"/>
            </w:pPr>
            <w:r/>
            <w:r>
              <w:rPr>
                <w:rFonts w:ascii="Arial" w:hAnsi="Arial"/>
                <w:b w:val="0"/>
                <w:sz w:val="16"/>
              </w:rPr>
              <w:t>Call Handling Team for record/classification/routing; assigned team for response</w:t>
            </w:r>
          </w:p>
        </w:tc>
        <w:tc>
          <w:tcPr>
            <w:tcW w:type="dxa" w:w="2520"/>
            <w:vAlign w:val="center"/>
          </w:tcPr>
          <w:p>
            <w:pPr>
              <w:spacing w:after="0"/>
            </w:pPr>
            <w:r/>
            <w:r>
              <w:rPr>
                <w:rFonts w:ascii="Arial" w:hAnsi="Arial"/>
                <w:b w:val="0"/>
                <w:sz w:val="16"/>
              </w:rPr>
              <w:t>Assigned authorised team</w:t>
            </w:r>
          </w:p>
        </w:tc>
        <w:tc>
          <w:tcPr>
            <w:tcW w:type="dxa" w:w="2520"/>
            <w:vAlign w:val="center"/>
          </w:tcPr>
          <w:p>
            <w:pPr>
              <w:spacing w:after="0"/>
            </w:pPr>
            <w:r/>
            <w:r>
              <w:rPr>
                <w:rFonts w:ascii="Arial" w:hAnsi="Arial"/>
                <w:b w:val="0"/>
                <w:sz w:val="16"/>
              </w:rPr>
              <w:t>CNS Team or authorised clinician for clinical issues; Finance for financial issues</w:t>
            </w:r>
          </w:p>
        </w:tc>
        <w:tc>
          <w:tcPr>
            <w:tcW w:type="dxa" w:w="2160"/>
            <w:vAlign w:val="center"/>
          </w:tcPr>
          <w:p>
            <w:pPr>
              <w:spacing w:after="0"/>
            </w:pPr>
            <w:r/>
            <w:r>
              <w:rPr>
                <w:rFonts w:ascii="Arial" w:hAnsi="Arial"/>
                <w:b w:val="0"/>
                <w:sz w:val="16"/>
              </w:rPr>
              <w:t>Patient</w:t>
            </w:r>
          </w:p>
        </w:tc>
        <w:tc>
          <w:tcPr>
            <w:tcW w:type="dxa" w:w="3240"/>
            <w:vAlign w:val="center"/>
          </w:tcPr>
          <w:p>
            <w:pPr>
              <w:spacing w:after="0"/>
            </w:pPr>
            <w:r/>
            <w:r>
              <w:rPr>
                <w:rFonts w:ascii="Arial" w:hAnsi="Arial"/>
                <w:b w:val="0"/>
                <w:sz w:val="16"/>
              </w:rPr>
              <w:t>Call handlers must not give clinical advice or interpret results; clinical matters are routed to authorised clinical staff.</w:t>
            </w:r>
          </w:p>
        </w:tc>
      </w:tr>
      <w:tr>
        <w:trPr>
          <w:cantSplit/>
        </w:trPr>
        <w:tc>
          <w:tcPr>
            <w:tcW w:type="dxa" w:w="2448"/>
            <w:vAlign w:val="center"/>
          </w:tcPr>
          <w:p>
            <w:pPr>
              <w:spacing w:after="0"/>
            </w:pPr>
            <w:r/>
            <w:r>
              <w:rPr>
                <w:rFonts w:ascii="Arial" w:hAnsi="Arial"/>
                <w:b w:val="0"/>
                <w:sz w:val="16"/>
              </w:rPr>
              <w:t>Clinic Letter clinical approval and distribution</w:t>
            </w:r>
          </w:p>
        </w:tc>
        <w:tc>
          <w:tcPr>
            <w:tcW w:type="dxa" w:w="2232"/>
            <w:vAlign w:val="center"/>
          </w:tcPr>
          <w:p>
            <w:pPr>
              <w:spacing w:after="0"/>
            </w:pPr>
            <w:r/>
            <w:r>
              <w:rPr>
                <w:rFonts w:ascii="Arial" w:hAnsi="Arial"/>
                <w:b w:val="0"/>
                <w:sz w:val="16"/>
              </w:rPr>
              <w:t>Consultant prepares/approves; Medical Secretaries process/distribute</w:t>
            </w:r>
          </w:p>
        </w:tc>
        <w:tc>
          <w:tcPr>
            <w:tcW w:type="dxa" w:w="2520"/>
            <w:vAlign w:val="center"/>
          </w:tcPr>
          <w:p>
            <w:pPr>
              <w:spacing w:after="0"/>
            </w:pPr>
            <w:r/>
            <w:r>
              <w:rPr>
                <w:rFonts w:ascii="Arial" w:hAnsi="Arial"/>
                <w:b w:val="0"/>
                <w:sz w:val="16"/>
              </w:rPr>
              <w:t>Consultant for clinical content and approval; Medical Secretaries for administrative processing</w:t>
            </w:r>
          </w:p>
        </w:tc>
        <w:tc>
          <w:tcPr>
            <w:tcW w:type="dxa" w:w="2520"/>
            <w:vAlign w:val="center"/>
          </w:tcPr>
          <w:p>
            <w:pPr>
              <w:spacing w:after="0"/>
            </w:pPr>
            <w:r/>
            <w:r>
              <w:rPr>
                <w:rFonts w:ascii="Arial" w:hAnsi="Arial"/>
                <w:b w:val="0"/>
                <w:sz w:val="16"/>
              </w:rPr>
              <w:t>Recipients as appropriate</w:t>
            </w:r>
          </w:p>
        </w:tc>
        <w:tc>
          <w:tcPr>
            <w:tcW w:type="dxa" w:w="2160"/>
            <w:vAlign w:val="center"/>
          </w:tcPr>
          <w:p>
            <w:pPr>
              <w:spacing w:after="0"/>
            </w:pPr>
            <w:r/>
            <w:r>
              <w:rPr>
                <w:rFonts w:ascii="Arial" w:hAnsi="Arial"/>
                <w:b w:val="0"/>
                <w:sz w:val="16"/>
              </w:rPr>
              <w:t>Patient, GP, provider</w:t>
            </w:r>
          </w:p>
        </w:tc>
        <w:tc>
          <w:tcPr>
            <w:tcW w:type="dxa" w:w="3240"/>
            <w:vAlign w:val="center"/>
          </w:tcPr>
          <w:p>
            <w:pPr>
              <w:spacing w:after="0"/>
            </w:pPr>
            <w:r/>
            <w:r>
              <w:rPr>
                <w:rFonts w:ascii="Arial" w:hAnsi="Arial"/>
                <w:b w:val="0"/>
                <w:sz w:val="16"/>
              </w:rPr>
              <w:t>Secretaries may correct formatting/clear administrative errors but must not change clinical meaning.</w:t>
            </w:r>
          </w:p>
        </w:tc>
      </w:tr>
      <w:tr>
        <w:trPr>
          <w:cantSplit/>
        </w:trPr>
        <w:tc>
          <w:tcPr>
            <w:tcW w:type="dxa" w:w="2448"/>
            <w:vAlign w:val="center"/>
          </w:tcPr>
          <w:p>
            <w:pPr>
              <w:spacing w:after="0"/>
            </w:pPr>
            <w:r/>
            <w:r>
              <w:rPr>
                <w:rFonts w:ascii="Arial" w:hAnsi="Arial"/>
                <w:b w:val="0"/>
                <w:sz w:val="16"/>
              </w:rPr>
              <w:t>Delayed letter monitoring/escalation</w:t>
            </w:r>
          </w:p>
        </w:tc>
        <w:tc>
          <w:tcPr>
            <w:tcW w:type="dxa" w:w="2232"/>
            <w:vAlign w:val="center"/>
          </w:tcPr>
          <w:p>
            <w:pPr>
              <w:spacing w:after="0"/>
            </w:pPr>
            <w:r/>
            <w:r>
              <w:rPr>
                <w:rFonts w:ascii="Arial" w:hAnsi="Arial"/>
                <w:b w:val="0"/>
                <w:sz w:val="16"/>
              </w:rPr>
              <w:t>Patient Pathway Coordinators</w:t>
            </w:r>
          </w:p>
        </w:tc>
        <w:tc>
          <w:tcPr>
            <w:tcW w:type="dxa" w:w="2520"/>
            <w:vAlign w:val="center"/>
          </w:tcPr>
          <w:p>
            <w:pPr>
              <w:spacing w:after="0"/>
            </w:pPr>
            <w:r/>
            <w:r>
              <w:rPr>
                <w:rFonts w:ascii="Arial" w:hAnsi="Arial"/>
                <w:b w:val="0"/>
                <w:sz w:val="16"/>
              </w:rPr>
              <w:t>Administrative Manager for one-month escalation action; higher management after three months</w:t>
            </w:r>
          </w:p>
        </w:tc>
        <w:tc>
          <w:tcPr>
            <w:tcW w:type="dxa" w:w="2520"/>
            <w:vAlign w:val="center"/>
          </w:tcPr>
          <w:p>
            <w:pPr>
              <w:spacing w:after="0"/>
            </w:pPr>
            <w:r/>
            <w:r>
              <w:rPr>
                <w:rFonts w:ascii="Arial" w:hAnsi="Arial"/>
                <w:b w:val="0"/>
                <w:sz w:val="16"/>
              </w:rPr>
              <w:t>Consultant</w:t>
            </w:r>
          </w:p>
        </w:tc>
        <w:tc>
          <w:tcPr>
            <w:tcW w:type="dxa" w:w="2160"/>
            <w:vAlign w:val="center"/>
          </w:tcPr>
          <w:p>
            <w:pPr>
              <w:spacing w:after="0"/>
            </w:pPr>
            <w:r/>
            <w:r>
              <w:rPr>
                <w:rFonts w:ascii="Arial" w:hAnsi="Arial"/>
                <w:b w:val="0"/>
                <w:sz w:val="16"/>
              </w:rPr>
              <w:t>Management</w:t>
            </w:r>
          </w:p>
        </w:tc>
        <w:tc>
          <w:tcPr>
            <w:tcW w:type="dxa" w:w="3240"/>
            <w:vAlign w:val="center"/>
          </w:tcPr>
          <w:p>
            <w:pPr>
              <w:spacing w:after="0"/>
            </w:pPr>
            <w:r/>
            <w:r>
              <w:rPr>
                <w:rFonts w:ascii="Arial" w:hAnsi="Arial"/>
                <w:b w:val="0"/>
                <w:sz w:val="16"/>
              </w:rPr>
              <w:t>Weekly reminders; no unnecessary repeated reminders after completion; retain history.</w:t>
            </w:r>
          </w:p>
        </w:tc>
      </w:tr>
      <w:tr>
        <w:trPr>
          <w:cantSplit/>
        </w:trPr>
        <w:tc>
          <w:tcPr>
            <w:tcW w:type="dxa" w:w="2448"/>
            <w:vAlign w:val="center"/>
          </w:tcPr>
          <w:p>
            <w:pPr>
              <w:spacing w:after="0"/>
            </w:pPr>
            <w:r/>
            <w:r>
              <w:rPr>
                <w:rFonts w:ascii="Arial" w:hAnsi="Arial"/>
                <w:b w:val="0"/>
                <w:sz w:val="16"/>
              </w:rPr>
              <w:t>Access control and audit trail</w:t>
            </w:r>
          </w:p>
        </w:tc>
        <w:tc>
          <w:tcPr>
            <w:tcW w:type="dxa" w:w="2232"/>
            <w:vAlign w:val="center"/>
          </w:tcPr>
          <w:p>
            <w:pPr>
              <w:spacing w:after="0"/>
            </w:pPr>
            <w:r/>
            <w:r>
              <w:rPr>
                <w:rFonts w:ascii="Arial" w:hAnsi="Arial"/>
                <w:b w:val="0"/>
                <w:sz w:val="16"/>
              </w:rPr>
              <w:t>System administrators/authorised audit users</w:t>
            </w:r>
          </w:p>
        </w:tc>
        <w:tc>
          <w:tcPr>
            <w:tcW w:type="dxa" w:w="2520"/>
            <w:vAlign w:val="center"/>
          </w:tcPr>
          <w:p>
            <w:pPr>
              <w:spacing w:after="0"/>
            </w:pPr>
            <w:r/>
            <w:r>
              <w:rPr>
                <w:rFonts w:ascii="Arial" w:hAnsi="Arial"/>
                <w:b w:val="0"/>
                <w:sz w:val="16"/>
              </w:rPr>
              <w:t>Management-appointed authorised control owner</w:t>
            </w:r>
          </w:p>
        </w:tc>
        <w:tc>
          <w:tcPr>
            <w:tcW w:type="dxa" w:w="2520"/>
            <w:vAlign w:val="center"/>
          </w:tcPr>
          <w:p>
            <w:pPr>
              <w:spacing w:after="0"/>
            </w:pPr>
            <w:r/>
            <w:r>
              <w:rPr>
                <w:rFonts w:ascii="Arial" w:hAnsi="Arial"/>
                <w:b w:val="0"/>
                <w:sz w:val="16"/>
              </w:rPr>
              <w:t>All role owners</w:t>
            </w:r>
          </w:p>
        </w:tc>
        <w:tc>
          <w:tcPr>
            <w:tcW w:type="dxa" w:w="2160"/>
            <w:vAlign w:val="center"/>
          </w:tcPr>
          <w:p>
            <w:pPr>
              <w:spacing w:after="0"/>
            </w:pPr>
            <w:r/>
            <w:r>
              <w:rPr>
                <w:rFonts w:ascii="Arial" w:hAnsi="Arial"/>
                <w:b w:val="0"/>
                <w:sz w:val="16"/>
              </w:rPr>
              <w:t>Management and authorised reviewers</w:t>
            </w:r>
          </w:p>
        </w:tc>
        <w:tc>
          <w:tcPr>
            <w:tcW w:type="dxa" w:w="3240"/>
            <w:vAlign w:val="center"/>
          </w:tcPr>
          <w:p>
            <w:pPr>
              <w:spacing w:after="0"/>
            </w:pPr>
            <w:r/>
            <w:r>
              <w:rPr>
                <w:rFonts w:ascii="Arial" w:hAnsi="Arial"/>
                <w:b w:val="0"/>
                <w:sz w:val="16"/>
              </w:rPr>
              <w:t>Significant actions are role-based, auditable and not editable by ordinary users.</w:t>
            </w:r>
          </w:p>
        </w:tc>
      </w:tr>
    </w:tbl>
    <w:p/>
    <w:p>
      <w:pPr>
        <w:pStyle w:val="Heading1"/>
      </w:pPr>
      <w:r>
        <w:t>6. Process Dependencies</w:t>
      </w:r>
    </w:p>
    <w:tbl>
      <w:tblPr>
        <w:tblStyle w:val="TableGrid"/>
        <w:tblW w:type="auto" w:w="0"/>
        <w:jc w:val="center"/>
        <w:tblLayout w:type="fixed"/>
        <w:tblLook w:firstColumn="1" w:firstRow="1" w:lastColumn="0" w:lastRow="0" w:noHBand="0" w:noVBand="1" w:val="04A0"/>
      </w:tblPr>
      <w:tblGrid>
        <w:gridCol w:w="2542"/>
        <w:gridCol w:w="2542"/>
        <w:gridCol w:w="2542"/>
        <w:gridCol w:w="2542"/>
        <w:gridCol w:w="2542"/>
        <w:gridCol w:w="2542"/>
      </w:tblGrid>
      <w:tr>
        <w:trPr>
          <w:tblHeader w:val="true"/>
        </w:trPr>
        <w:tc>
          <w:tcPr>
            <w:tcW w:type="dxa" w:w="2232"/>
            <w:vAlign w:val="center"/>
            <w:shd w:fill="1F4E78"/>
          </w:tcPr>
          <w:p>
            <w:pPr>
              <w:spacing w:after="0"/>
            </w:pPr>
            <w:r/>
            <w:r>
              <w:rPr>
                <w:rFonts w:ascii="Arial" w:hAnsi="Arial"/>
                <w:b/>
                <w:color w:val="FFFFFF"/>
                <w:sz w:val="16"/>
              </w:rPr>
              <w:t>Process that continues</w:t>
            </w:r>
          </w:p>
        </w:tc>
        <w:tc>
          <w:tcPr>
            <w:tcW w:type="dxa" w:w="2376"/>
            <w:vAlign w:val="center"/>
            <w:shd w:fill="1F4E78"/>
          </w:tcPr>
          <w:p>
            <w:pPr>
              <w:spacing w:after="0"/>
            </w:pPr>
            <w:r/>
            <w:r>
              <w:rPr>
                <w:rFonts w:ascii="Arial" w:hAnsi="Arial"/>
                <w:b/>
                <w:color w:val="FFFFFF"/>
                <w:sz w:val="16"/>
              </w:rPr>
              <w:t>Predecessor / trigger</w:t>
            </w:r>
          </w:p>
        </w:tc>
        <w:tc>
          <w:tcPr>
            <w:tcW w:type="dxa" w:w="3744"/>
            <w:vAlign w:val="center"/>
            <w:shd w:fill="1F4E78"/>
          </w:tcPr>
          <w:p>
            <w:pPr>
              <w:spacing w:after="0"/>
            </w:pPr>
            <w:r/>
            <w:r>
              <w:rPr>
                <w:rFonts w:ascii="Arial" w:hAnsi="Arial"/>
                <w:b/>
                <w:color w:val="FFFFFF"/>
                <w:sz w:val="16"/>
              </w:rPr>
              <w:t>What must be completed, approved or available</w:t>
            </w:r>
          </w:p>
        </w:tc>
        <w:tc>
          <w:tcPr>
            <w:tcW w:type="dxa" w:w="2376"/>
            <w:vAlign w:val="center"/>
            <w:shd w:fill="1F4E78"/>
          </w:tcPr>
          <w:p>
            <w:pPr>
              <w:spacing w:after="0"/>
            </w:pPr>
            <w:r/>
            <w:r>
              <w:rPr>
                <w:rFonts w:ascii="Arial" w:hAnsi="Arial"/>
                <w:b/>
                <w:color w:val="FFFFFF"/>
                <w:sz w:val="16"/>
              </w:rPr>
              <w:t>Result / next trigger</w:t>
            </w:r>
          </w:p>
        </w:tc>
        <w:tc>
          <w:tcPr>
            <w:tcW w:type="dxa" w:w="2880"/>
            <w:vAlign w:val="center"/>
            <w:shd w:fill="1F4E78"/>
          </w:tcPr>
          <w:p>
            <w:pPr>
              <w:spacing w:after="0"/>
            </w:pPr>
            <w:r/>
            <w:r>
              <w:rPr>
                <w:rFonts w:ascii="Arial" w:hAnsi="Arial"/>
                <w:b/>
                <w:color w:val="FFFFFF"/>
                <w:sz w:val="16"/>
              </w:rPr>
              <w:t>Key parties / external dependency</w:t>
            </w:r>
          </w:p>
        </w:tc>
        <w:tc>
          <w:tcPr>
            <w:tcW w:type="dxa" w:w="1656"/>
            <w:vAlign w:val="center"/>
            <w:shd w:fill="1F4E78"/>
          </w:tcPr>
          <w:p>
            <w:pPr>
              <w:spacing w:after="0"/>
            </w:pPr>
            <w:r/>
            <w:r>
              <w:rPr>
                <w:rFonts w:ascii="Arial" w:hAnsi="Arial"/>
                <w:b/>
                <w:color w:val="FFFFFF"/>
                <w:sz w:val="16"/>
              </w:rPr>
              <w:t>Control implication</w:t>
            </w:r>
          </w:p>
        </w:tc>
      </w:tr>
      <w:tr>
        <w:trPr>
          <w:cantSplit/>
        </w:trPr>
        <w:tc>
          <w:tcPr>
            <w:tcW w:type="dxa" w:w="2232"/>
            <w:vAlign w:val="center"/>
          </w:tcPr>
          <w:p>
            <w:pPr>
              <w:spacing w:after="0"/>
            </w:pPr>
            <w:r/>
            <w:r>
              <w:rPr>
                <w:rFonts w:ascii="Arial" w:hAnsi="Arial"/>
                <w:b w:val="0"/>
                <w:sz w:val="16"/>
              </w:rPr>
              <w:t>Referral clinical review</w:t>
            </w:r>
          </w:p>
        </w:tc>
        <w:tc>
          <w:tcPr>
            <w:tcW w:type="dxa" w:w="2376"/>
            <w:vAlign w:val="center"/>
          </w:tcPr>
          <w:p>
            <w:pPr>
              <w:spacing w:after="0"/>
            </w:pPr>
            <w:r/>
            <w:r>
              <w:rPr>
                <w:rFonts w:ascii="Arial" w:hAnsi="Arial"/>
                <w:b w:val="0"/>
                <w:sz w:val="16"/>
              </w:rPr>
              <w:t>Referral receipt and completeness checking</w:t>
            </w:r>
          </w:p>
        </w:tc>
        <w:tc>
          <w:tcPr>
            <w:tcW w:type="dxa" w:w="3744"/>
            <w:vAlign w:val="center"/>
          </w:tcPr>
          <w:p>
            <w:pPr>
              <w:spacing w:after="0"/>
            </w:pPr>
            <w:r/>
            <w:r>
              <w:rPr>
                <w:rFonts w:ascii="Arial" w:hAnsi="Arial"/>
                <w:b w:val="0"/>
                <w:sz w:val="16"/>
              </w:rPr>
              <w:t>Referral and available documents are recorded and sent to appropriate Consultant.</w:t>
            </w:r>
          </w:p>
        </w:tc>
        <w:tc>
          <w:tcPr>
            <w:tcW w:type="dxa" w:w="2376"/>
            <w:vAlign w:val="center"/>
          </w:tcPr>
          <w:p>
            <w:pPr>
              <w:spacing w:after="0"/>
            </w:pPr>
            <w:r/>
            <w:r>
              <w:rPr>
                <w:rFonts w:ascii="Arial" w:hAnsi="Arial"/>
                <w:b w:val="0"/>
                <w:sz w:val="16"/>
              </w:rPr>
              <w:t>Authorised referral decision or request for further information.</w:t>
            </w:r>
          </w:p>
        </w:tc>
        <w:tc>
          <w:tcPr>
            <w:tcW w:type="dxa" w:w="2880"/>
            <w:vAlign w:val="center"/>
          </w:tcPr>
          <w:p>
            <w:pPr>
              <w:spacing w:after="0"/>
            </w:pPr>
            <w:r/>
            <w:r>
              <w:rPr>
                <w:rFonts w:ascii="Arial" w:hAnsi="Arial"/>
                <w:b w:val="0"/>
                <w:sz w:val="16"/>
              </w:rPr>
              <w:t>Medical Secretaries; Consultant</w:t>
            </w:r>
          </w:p>
        </w:tc>
        <w:tc>
          <w:tcPr>
            <w:tcW w:type="dxa" w:w="1656"/>
            <w:vAlign w:val="center"/>
          </w:tcPr>
          <w:p>
            <w:pPr>
              <w:spacing w:after="0"/>
            </w:pPr>
            <w:r/>
            <w:r>
              <w:rPr>
                <w:rFonts w:ascii="Arial" w:hAnsi="Arial"/>
                <w:b w:val="0"/>
                <w:sz w:val="16"/>
              </w:rPr>
              <w:t>No clinical decision may be made by Medical Secretaries.</w:t>
            </w:r>
          </w:p>
        </w:tc>
      </w:tr>
      <w:tr>
        <w:trPr>
          <w:cantSplit/>
        </w:trPr>
        <w:tc>
          <w:tcPr>
            <w:tcW w:type="dxa" w:w="2232"/>
            <w:vAlign w:val="center"/>
          </w:tcPr>
          <w:p>
            <w:pPr>
              <w:spacing w:after="0"/>
            </w:pPr>
            <w:r/>
            <w:r>
              <w:rPr>
                <w:rFonts w:ascii="Arial" w:hAnsi="Arial"/>
                <w:b w:val="0"/>
                <w:sz w:val="16"/>
              </w:rPr>
              <w:t>New patient appointment booking</w:t>
            </w:r>
          </w:p>
        </w:tc>
        <w:tc>
          <w:tcPr>
            <w:tcW w:type="dxa" w:w="2376"/>
            <w:vAlign w:val="center"/>
          </w:tcPr>
          <w:p>
            <w:pPr>
              <w:spacing w:after="0"/>
            </w:pPr>
            <w:r/>
            <w:r>
              <w:rPr>
                <w:rFonts w:ascii="Arial" w:hAnsi="Arial"/>
                <w:b w:val="0"/>
                <w:sz w:val="16"/>
              </w:rPr>
              <w:t>Authorised referral acceptance</w:t>
            </w:r>
          </w:p>
        </w:tc>
        <w:tc>
          <w:tcPr>
            <w:tcW w:type="dxa" w:w="3744"/>
            <w:vAlign w:val="center"/>
          </w:tcPr>
          <w:p>
            <w:pPr>
              <w:spacing w:after="0"/>
            </w:pPr>
            <w:r/>
            <w:r>
              <w:rPr>
                <w:rFonts w:ascii="Arial" w:hAnsi="Arial"/>
                <w:b w:val="0"/>
                <w:sz w:val="16"/>
              </w:rPr>
              <w:t>Consultant acceptance, reason and decision maker are recorded.</w:t>
            </w:r>
          </w:p>
        </w:tc>
        <w:tc>
          <w:tcPr>
            <w:tcW w:type="dxa" w:w="2376"/>
            <w:vAlign w:val="center"/>
          </w:tcPr>
          <w:p>
            <w:pPr>
              <w:spacing w:after="0"/>
            </w:pPr>
            <w:r/>
            <w:r>
              <w:rPr>
                <w:rFonts w:ascii="Arial" w:hAnsi="Arial"/>
                <w:b w:val="0"/>
                <w:sz w:val="16"/>
              </w:rPr>
              <w:t>Booking request can be actioned.</w:t>
            </w:r>
          </w:p>
        </w:tc>
        <w:tc>
          <w:tcPr>
            <w:tcW w:type="dxa" w:w="2880"/>
            <w:vAlign w:val="center"/>
          </w:tcPr>
          <w:p>
            <w:pPr>
              <w:spacing w:after="0"/>
            </w:pPr>
            <w:r/>
            <w:r>
              <w:rPr>
                <w:rFonts w:ascii="Arial" w:hAnsi="Arial"/>
                <w:b w:val="0"/>
                <w:sz w:val="16"/>
              </w:rPr>
              <w:t>Consultant; Outpatient Bookings Team</w:t>
            </w:r>
          </w:p>
        </w:tc>
        <w:tc>
          <w:tcPr>
            <w:tcW w:type="dxa" w:w="1656"/>
            <w:vAlign w:val="center"/>
          </w:tcPr>
          <w:p>
            <w:pPr>
              <w:spacing w:after="0"/>
            </w:pPr>
            <w:r/>
            <w:r>
              <w:rPr>
                <w:rFonts w:ascii="Arial" w:hAnsi="Arial"/>
                <w:b w:val="0"/>
                <w:sz w:val="16"/>
              </w:rPr>
              <w:t>External scheduling service is then required to find/secure a slot.</w:t>
            </w:r>
          </w:p>
        </w:tc>
      </w:tr>
      <w:tr>
        <w:trPr>
          <w:cantSplit/>
        </w:trPr>
        <w:tc>
          <w:tcPr>
            <w:tcW w:type="dxa" w:w="2232"/>
            <w:vAlign w:val="center"/>
          </w:tcPr>
          <w:p>
            <w:pPr>
              <w:spacing w:after="0"/>
            </w:pPr>
            <w:r/>
            <w:r>
              <w:rPr>
                <w:rFonts w:ascii="Arial" w:hAnsi="Arial"/>
                <w:b w:val="0"/>
                <w:sz w:val="16"/>
              </w:rPr>
              <w:t>Patient notification for new appointment</w:t>
            </w:r>
          </w:p>
        </w:tc>
        <w:tc>
          <w:tcPr>
            <w:tcW w:type="dxa" w:w="2376"/>
            <w:vAlign w:val="center"/>
          </w:tcPr>
          <w:p>
            <w:pPr>
              <w:spacing w:after="0"/>
            </w:pPr>
            <w:r/>
            <w:r>
              <w:rPr>
                <w:rFonts w:ascii="Arial" w:hAnsi="Arial"/>
                <w:b w:val="0"/>
                <w:sz w:val="16"/>
              </w:rPr>
              <w:t>Confirmed appointment</w:t>
            </w:r>
          </w:p>
        </w:tc>
        <w:tc>
          <w:tcPr>
            <w:tcW w:type="dxa" w:w="3744"/>
            <w:vAlign w:val="center"/>
          </w:tcPr>
          <w:p>
            <w:pPr>
              <w:spacing w:after="0"/>
            </w:pPr>
            <w:r/>
            <w:r>
              <w:rPr>
                <w:rFonts w:ascii="Arial" w:hAnsi="Arial"/>
                <w:b w:val="0"/>
                <w:sz w:val="16"/>
              </w:rPr>
              <w:t>Scheduling outcome and appointment record exist.</w:t>
            </w:r>
          </w:p>
        </w:tc>
        <w:tc>
          <w:tcPr>
            <w:tcW w:type="dxa" w:w="2376"/>
            <w:vAlign w:val="center"/>
          </w:tcPr>
          <w:p>
            <w:pPr>
              <w:spacing w:after="0"/>
            </w:pPr>
            <w:r/>
            <w:r>
              <w:rPr>
                <w:rFonts w:ascii="Arial" w:hAnsi="Arial"/>
                <w:b w:val="0"/>
                <w:sz w:val="16"/>
              </w:rPr>
              <w:t>Letter sent; telephone contact also required when within two weeks.</w:t>
            </w:r>
          </w:p>
        </w:tc>
        <w:tc>
          <w:tcPr>
            <w:tcW w:type="dxa" w:w="2880"/>
            <w:vAlign w:val="center"/>
          </w:tcPr>
          <w:p>
            <w:pPr>
              <w:spacing w:after="0"/>
            </w:pPr>
            <w:r/>
            <w:r>
              <w:rPr>
                <w:rFonts w:ascii="Arial" w:hAnsi="Arial"/>
                <w:b w:val="0"/>
                <w:sz w:val="16"/>
              </w:rPr>
              <w:t>Outpatient Bookings Team; correspondence service</w:t>
            </w:r>
          </w:p>
        </w:tc>
        <w:tc>
          <w:tcPr>
            <w:tcW w:type="dxa" w:w="1656"/>
            <w:vAlign w:val="center"/>
          </w:tcPr>
          <w:p>
            <w:pPr>
              <w:spacing w:after="0"/>
            </w:pPr>
            <w:r/>
            <w:r>
              <w:rPr>
                <w:rFonts w:ascii="Arial" w:hAnsi="Arial"/>
                <w:b w:val="0"/>
                <w:sz w:val="16"/>
              </w:rPr>
              <w:t>Every contact attempt/outcome is recorded.</w:t>
            </w:r>
          </w:p>
        </w:tc>
      </w:tr>
      <w:tr>
        <w:trPr>
          <w:cantSplit/>
        </w:trPr>
        <w:tc>
          <w:tcPr>
            <w:tcW w:type="dxa" w:w="2232"/>
            <w:vAlign w:val="center"/>
          </w:tcPr>
          <w:p>
            <w:pPr>
              <w:spacing w:after="0"/>
            </w:pPr>
            <w:r/>
            <w:r>
              <w:rPr>
                <w:rFonts w:ascii="Arial" w:hAnsi="Arial"/>
                <w:b w:val="0"/>
                <w:sz w:val="16"/>
              </w:rPr>
              <w:t>New patient consultation</w:t>
            </w:r>
          </w:p>
        </w:tc>
        <w:tc>
          <w:tcPr>
            <w:tcW w:type="dxa" w:w="2376"/>
            <w:vAlign w:val="center"/>
          </w:tcPr>
          <w:p>
            <w:pPr>
              <w:spacing w:after="0"/>
            </w:pPr>
            <w:r/>
            <w:r>
              <w:rPr>
                <w:rFonts w:ascii="Arial" w:hAnsi="Arial"/>
                <w:b w:val="0"/>
                <w:sz w:val="16"/>
              </w:rPr>
              <w:t>Confirmed appointment and patient attendance</w:t>
            </w:r>
          </w:p>
        </w:tc>
        <w:tc>
          <w:tcPr>
            <w:tcW w:type="dxa" w:w="3744"/>
            <w:vAlign w:val="center"/>
          </w:tcPr>
          <w:p>
            <w:pPr>
              <w:spacing w:after="0"/>
            </w:pPr>
            <w:r/>
            <w:r>
              <w:rPr>
                <w:rFonts w:ascii="Arial" w:hAnsi="Arial"/>
                <w:b w:val="0"/>
                <w:sz w:val="16"/>
              </w:rPr>
              <w:t>Appointment is booked/communicated and occurs.</w:t>
            </w:r>
          </w:p>
        </w:tc>
        <w:tc>
          <w:tcPr>
            <w:tcW w:type="dxa" w:w="2376"/>
            <w:vAlign w:val="center"/>
          </w:tcPr>
          <w:p>
            <w:pPr>
              <w:spacing w:after="0"/>
            </w:pPr>
            <w:r/>
            <w:r>
              <w:rPr>
                <w:rFonts w:ascii="Arial" w:hAnsi="Arial"/>
                <w:b w:val="0"/>
                <w:sz w:val="16"/>
              </w:rPr>
              <w:t>Clinical assessment, diagnosis, consent and possible treatment request.</w:t>
            </w:r>
          </w:p>
        </w:tc>
        <w:tc>
          <w:tcPr>
            <w:tcW w:type="dxa" w:w="2880"/>
            <w:vAlign w:val="center"/>
          </w:tcPr>
          <w:p>
            <w:pPr>
              <w:spacing w:after="0"/>
            </w:pPr>
            <w:r/>
            <w:r>
              <w:rPr>
                <w:rFonts w:ascii="Arial" w:hAnsi="Arial"/>
                <w:b w:val="0"/>
                <w:sz w:val="16"/>
              </w:rPr>
              <w:t>Consultant; patient</w:t>
            </w:r>
          </w:p>
        </w:tc>
        <w:tc>
          <w:tcPr>
            <w:tcW w:type="dxa" w:w="1656"/>
            <w:vAlign w:val="center"/>
          </w:tcPr>
          <w:p>
            <w:pPr>
              <w:spacing w:after="0"/>
            </w:pPr>
            <w:r/>
            <w:r>
              <w:rPr>
                <w:rFonts w:ascii="Arial" w:hAnsi="Arial"/>
                <w:b w:val="0"/>
                <w:sz w:val="16"/>
              </w:rPr>
              <w:t>The case does not specify the clinical documentation standard for consultation.</w:t>
            </w:r>
          </w:p>
        </w:tc>
      </w:tr>
      <w:tr>
        <w:trPr>
          <w:cantSplit/>
        </w:trPr>
        <w:tc>
          <w:tcPr>
            <w:tcW w:type="dxa" w:w="2232"/>
            <w:vAlign w:val="center"/>
          </w:tcPr>
          <w:p>
            <w:pPr>
              <w:spacing w:after="0"/>
            </w:pPr>
            <w:r/>
            <w:r>
              <w:rPr>
                <w:rFonts w:ascii="Arial" w:hAnsi="Arial"/>
                <w:b w:val="0"/>
                <w:sz w:val="16"/>
              </w:rPr>
              <w:t>Treatment booking</w:t>
            </w:r>
          </w:p>
        </w:tc>
        <w:tc>
          <w:tcPr>
            <w:tcW w:type="dxa" w:w="2376"/>
            <w:vAlign w:val="center"/>
          </w:tcPr>
          <w:p>
            <w:pPr>
              <w:spacing w:after="0"/>
            </w:pPr>
            <w:r/>
            <w:r>
              <w:rPr>
                <w:rFonts w:ascii="Arial" w:hAnsi="Arial"/>
                <w:b w:val="0"/>
                <w:sz w:val="16"/>
              </w:rPr>
              <w:t>Authorised Treatment Booking Request</w:t>
            </w:r>
          </w:p>
        </w:tc>
        <w:tc>
          <w:tcPr>
            <w:tcW w:type="dxa" w:w="3744"/>
            <w:vAlign w:val="center"/>
          </w:tcPr>
          <w:p>
            <w:pPr>
              <w:spacing w:after="0"/>
            </w:pPr>
            <w:r/>
            <w:r>
              <w:rPr>
                <w:rFonts w:ascii="Arial" w:hAnsi="Arial"/>
                <w:b w:val="0"/>
                <w:sz w:val="16"/>
              </w:rPr>
              <w:t>Appropriate clinical professional completes and authorises request.</w:t>
            </w:r>
          </w:p>
        </w:tc>
        <w:tc>
          <w:tcPr>
            <w:tcW w:type="dxa" w:w="2376"/>
            <w:vAlign w:val="center"/>
          </w:tcPr>
          <w:p>
            <w:pPr>
              <w:spacing w:after="0"/>
            </w:pPr>
            <w:r/>
            <w:r>
              <w:rPr>
                <w:rFonts w:ascii="Arial" w:hAnsi="Arial"/>
                <w:b w:val="0"/>
                <w:sz w:val="16"/>
              </w:rPr>
              <w:t>Bookings Team may coordinate appointments.</w:t>
            </w:r>
          </w:p>
        </w:tc>
        <w:tc>
          <w:tcPr>
            <w:tcW w:type="dxa" w:w="2880"/>
            <w:vAlign w:val="center"/>
          </w:tcPr>
          <w:p>
            <w:pPr>
              <w:spacing w:after="0"/>
            </w:pPr>
            <w:r/>
            <w:r>
              <w:rPr>
                <w:rFonts w:ascii="Arial" w:hAnsi="Arial"/>
                <w:b w:val="0"/>
                <w:sz w:val="16"/>
              </w:rPr>
              <w:t>Authorised clinician; Treatment/Chemotherapy Bookings Team</w:t>
            </w:r>
          </w:p>
        </w:tc>
        <w:tc>
          <w:tcPr>
            <w:tcW w:type="dxa" w:w="1656"/>
            <w:vAlign w:val="center"/>
          </w:tcPr>
          <w:p>
            <w:pPr>
              <w:spacing w:after="0"/>
            </w:pPr>
            <w:r/>
            <w:r>
              <w:rPr>
                <w:rFonts w:ascii="Arial" w:hAnsi="Arial"/>
                <w:b w:val="0"/>
                <w:sz w:val="16"/>
              </w:rPr>
              <w:t>Unauthorised or informal requests must not be processed.</w:t>
            </w:r>
          </w:p>
        </w:tc>
      </w:tr>
      <w:tr>
        <w:trPr>
          <w:cantSplit/>
        </w:trPr>
        <w:tc>
          <w:tcPr>
            <w:tcW w:type="dxa" w:w="2232"/>
            <w:vAlign w:val="center"/>
          </w:tcPr>
          <w:p>
            <w:pPr>
              <w:spacing w:after="0"/>
            </w:pPr>
            <w:r/>
            <w:r>
              <w:rPr>
                <w:rFonts w:ascii="Arial" w:hAnsi="Arial"/>
                <w:b w:val="0"/>
                <w:sz w:val="16"/>
              </w:rPr>
              <w:t>Treatment appointment confirmation</w:t>
            </w:r>
          </w:p>
        </w:tc>
        <w:tc>
          <w:tcPr>
            <w:tcW w:type="dxa" w:w="2376"/>
            <w:vAlign w:val="center"/>
          </w:tcPr>
          <w:p>
            <w:pPr>
              <w:spacing w:after="0"/>
            </w:pPr>
            <w:r/>
            <w:r>
              <w:rPr>
                <w:rFonts w:ascii="Arial" w:hAnsi="Arial"/>
                <w:b w:val="0"/>
                <w:sz w:val="16"/>
              </w:rPr>
              <w:t>Availability plus financial condition</w:t>
            </w:r>
          </w:p>
        </w:tc>
        <w:tc>
          <w:tcPr>
            <w:tcW w:type="dxa" w:w="3744"/>
            <w:vAlign w:val="center"/>
          </w:tcPr>
          <w:p>
            <w:pPr>
              <w:spacing w:after="0"/>
            </w:pPr>
            <w:r/>
            <w:r>
              <w:rPr>
                <w:rFonts w:ascii="Arial" w:hAnsi="Arial"/>
                <w:b w:val="0"/>
                <w:sz w:val="16"/>
              </w:rPr>
              <w:t>Hospital/external treatment availability; funding/payment/exemption/arrangement as applicable.</w:t>
            </w:r>
          </w:p>
        </w:tc>
        <w:tc>
          <w:tcPr>
            <w:tcW w:type="dxa" w:w="2376"/>
            <w:vAlign w:val="center"/>
          </w:tcPr>
          <w:p>
            <w:pPr>
              <w:spacing w:after="0"/>
            </w:pPr>
            <w:r/>
            <w:r>
              <w:rPr>
                <w:rFonts w:ascii="Arial" w:hAnsi="Arial"/>
                <w:b w:val="0"/>
                <w:sz w:val="16"/>
              </w:rPr>
              <w:t>Confirmed appointment or pending/exception case.</w:t>
            </w:r>
          </w:p>
        </w:tc>
        <w:tc>
          <w:tcPr>
            <w:tcW w:type="dxa" w:w="2880"/>
            <w:vAlign w:val="center"/>
          </w:tcPr>
          <w:p>
            <w:pPr>
              <w:spacing w:after="0"/>
            </w:pPr>
            <w:r/>
            <w:r>
              <w:rPr>
                <w:rFonts w:ascii="Arial" w:hAnsi="Arial"/>
                <w:b w:val="0"/>
                <w:sz w:val="16"/>
              </w:rPr>
              <w:t>Bookings Team; Finance; external treatment/scheduling services</w:t>
            </w:r>
          </w:p>
        </w:tc>
        <w:tc>
          <w:tcPr>
            <w:tcW w:type="dxa" w:w="1656"/>
            <w:vAlign w:val="center"/>
          </w:tcPr>
          <w:p>
            <w:pPr>
              <w:spacing w:after="0"/>
            </w:pPr>
            <w:r/>
            <w:r>
              <w:rPr>
                <w:rFonts w:ascii="Arial" w:hAnsi="Arial"/>
                <w:b w:val="0"/>
                <w:sz w:val="16"/>
              </w:rPr>
              <w:t>Advance-payment cases normally await successful payment or recorded alternative authorisation.</w:t>
            </w:r>
          </w:p>
        </w:tc>
      </w:tr>
      <w:tr>
        <w:trPr>
          <w:cantSplit/>
        </w:trPr>
        <w:tc>
          <w:tcPr>
            <w:tcW w:type="dxa" w:w="2232"/>
            <w:vAlign w:val="center"/>
          </w:tcPr>
          <w:p>
            <w:pPr>
              <w:spacing w:after="0"/>
            </w:pPr>
            <w:r/>
            <w:r>
              <w:rPr>
                <w:rFonts w:ascii="Arial" w:hAnsi="Arial"/>
                <w:b w:val="0"/>
                <w:sz w:val="16"/>
              </w:rPr>
              <w:t>Funding decision</w:t>
            </w:r>
          </w:p>
        </w:tc>
        <w:tc>
          <w:tcPr>
            <w:tcW w:type="dxa" w:w="2376"/>
            <w:vAlign w:val="center"/>
          </w:tcPr>
          <w:p>
            <w:pPr>
              <w:spacing w:after="0"/>
            </w:pPr>
            <w:r/>
            <w:r>
              <w:rPr>
                <w:rFonts w:ascii="Arial" w:hAnsi="Arial"/>
                <w:b w:val="0"/>
                <w:sz w:val="16"/>
              </w:rPr>
              <w:t>Treatment request and funding need</w:t>
            </w:r>
          </w:p>
        </w:tc>
        <w:tc>
          <w:tcPr>
            <w:tcW w:type="dxa" w:w="3744"/>
            <w:vAlign w:val="center"/>
          </w:tcPr>
          <w:p>
            <w:pPr>
              <w:spacing w:after="0"/>
            </w:pPr>
            <w:r/>
            <w:r>
              <w:rPr>
                <w:rFonts w:ascii="Arial" w:hAnsi="Arial"/>
                <w:b w:val="0"/>
                <w:sz w:val="16"/>
              </w:rPr>
              <w:t>Authorised treatment details and patient funding arrangement.</w:t>
            </w:r>
          </w:p>
        </w:tc>
        <w:tc>
          <w:tcPr>
            <w:tcW w:type="dxa" w:w="2376"/>
            <w:vAlign w:val="center"/>
          </w:tcPr>
          <w:p>
            <w:pPr>
              <w:spacing w:after="0"/>
            </w:pPr>
            <w:r/>
            <w:r>
              <w:rPr>
                <w:rFonts w:ascii="Arial" w:hAnsi="Arial"/>
                <w:b w:val="0"/>
                <w:sz w:val="16"/>
              </w:rPr>
              <w:t>Funder/insurer approval data or payment requirement.</w:t>
            </w:r>
          </w:p>
        </w:tc>
        <w:tc>
          <w:tcPr>
            <w:tcW w:type="dxa" w:w="2880"/>
            <w:vAlign w:val="center"/>
          </w:tcPr>
          <w:p>
            <w:pPr>
              <w:spacing w:after="0"/>
            </w:pPr>
            <w:r/>
            <w:r>
              <w:rPr>
                <w:rFonts w:ascii="Arial" w:hAnsi="Arial"/>
                <w:b w:val="0"/>
                <w:sz w:val="16"/>
              </w:rPr>
              <w:t>Finance Team; funding organisation/insurer</w:t>
            </w:r>
          </w:p>
        </w:tc>
        <w:tc>
          <w:tcPr>
            <w:tcW w:type="dxa" w:w="1656"/>
            <w:vAlign w:val="center"/>
          </w:tcPr>
          <w:p>
            <w:pPr>
              <w:spacing w:after="0"/>
            </w:pPr>
            <w:r/>
            <w:r>
              <w:rPr>
                <w:rFonts w:ascii="Arial" w:hAnsi="Arial"/>
                <w:b w:val="0"/>
                <w:sz w:val="16"/>
              </w:rPr>
              <w:t>Finance decision is separate from clinical necessity.</w:t>
            </w:r>
          </w:p>
        </w:tc>
      </w:tr>
      <w:tr>
        <w:trPr>
          <w:cantSplit/>
        </w:trPr>
        <w:tc>
          <w:tcPr>
            <w:tcW w:type="dxa" w:w="2232"/>
            <w:vAlign w:val="center"/>
          </w:tcPr>
          <w:p>
            <w:pPr>
              <w:spacing w:after="0"/>
            </w:pPr>
            <w:r/>
            <w:r>
              <w:rPr>
                <w:rFonts w:ascii="Arial" w:hAnsi="Arial"/>
                <w:b w:val="0"/>
                <w:sz w:val="16"/>
              </w:rPr>
              <w:t>Payment confirmation</w:t>
            </w:r>
          </w:p>
        </w:tc>
        <w:tc>
          <w:tcPr>
            <w:tcW w:type="dxa" w:w="2376"/>
            <w:vAlign w:val="center"/>
          </w:tcPr>
          <w:p>
            <w:pPr>
              <w:spacing w:after="0"/>
            </w:pPr>
            <w:r/>
            <w:r>
              <w:rPr>
                <w:rFonts w:ascii="Arial" w:hAnsi="Arial"/>
                <w:b w:val="0"/>
                <w:sz w:val="16"/>
              </w:rPr>
              <w:t>Charge and payment route</w:t>
            </w:r>
          </w:p>
        </w:tc>
        <w:tc>
          <w:tcPr>
            <w:tcW w:type="dxa" w:w="3744"/>
            <w:vAlign w:val="center"/>
          </w:tcPr>
          <w:p>
            <w:pPr>
              <w:spacing w:after="0"/>
            </w:pPr>
            <w:r/>
            <w:r>
              <w:rPr>
                <w:rFonts w:ascii="Arial" w:hAnsi="Arial"/>
                <w:b w:val="0"/>
                <w:sz w:val="16"/>
              </w:rPr>
              <w:t>Charge obtained/calculated and secure PSP request sent.</w:t>
            </w:r>
          </w:p>
        </w:tc>
        <w:tc>
          <w:tcPr>
            <w:tcW w:type="dxa" w:w="2376"/>
            <w:vAlign w:val="center"/>
          </w:tcPr>
          <w:p>
            <w:pPr>
              <w:spacing w:after="0"/>
            </w:pPr>
            <w:r/>
            <w:r>
              <w:rPr>
                <w:rFonts w:ascii="Arial" w:hAnsi="Arial"/>
                <w:b w:val="0"/>
                <w:sz w:val="16"/>
              </w:rPr>
              <w:t>Payment status/reference/date/amount recorded.</w:t>
            </w:r>
          </w:p>
        </w:tc>
        <w:tc>
          <w:tcPr>
            <w:tcW w:type="dxa" w:w="2880"/>
            <w:vAlign w:val="center"/>
          </w:tcPr>
          <w:p>
            <w:pPr>
              <w:spacing w:after="0"/>
            </w:pPr>
            <w:r/>
            <w:r>
              <w:rPr>
                <w:rFonts w:ascii="Arial" w:hAnsi="Arial"/>
                <w:b w:val="0"/>
                <w:sz w:val="16"/>
              </w:rPr>
              <w:t>Finance Team; PSP</w:t>
            </w:r>
          </w:p>
        </w:tc>
        <w:tc>
          <w:tcPr>
            <w:tcW w:type="dxa" w:w="1656"/>
            <w:vAlign w:val="center"/>
          </w:tcPr>
          <w:p>
            <w:pPr>
              <w:spacing w:after="0"/>
            </w:pPr>
            <w:r/>
            <w:r>
              <w:rPr>
                <w:rFonts w:ascii="Arial" w:hAnsi="Arial"/>
                <w:b w:val="0"/>
                <w:sz w:val="16"/>
              </w:rPr>
              <w:t>Do not store complete card information.</w:t>
            </w:r>
          </w:p>
        </w:tc>
      </w:tr>
      <w:tr>
        <w:trPr>
          <w:cantSplit/>
        </w:trPr>
        <w:tc>
          <w:tcPr>
            <w:tcW w:type="dxa" w:w="2232"/>
            <w:vAlign w:val="center"/>
          </w:tcPr>
          <w:p>
            <w:pPr>
              <w:spacing w:after="0"/>
            </w:pPr>
            <w:r/>
            <w:r>
              <w:rPr>
                <w:rFonts w:ascii="Arial" w:hAnsi="Arial"/>
                <w:b w:val="0"/>
                <w:sz w:val="16"/>
              </w:rPr>
              <w:t>Payment exception resolution</w:t>
            </w:r>
          </w:p>
        </w:tc>
        <w:tc>
          <w:tcPr>
            <w:tcW w:type="dxa" w:w="2376"/>
            <w:vAlign w:val="center"/>
          </w:tcPr>
          <w:p>
            <w:pPr>
              <w:spacing w:after="0"/>
            </w:pPr>
            <w:r/>
            <w:r>
              <w:rPr>
                <w:rFonts w:ascii="Arial" w:hAnsi="Arial"/>
                <w:b w:val="0"/>
                <w:sz w:val="16"/>
              </w:rPr>
              <w:t>Exception event</w:t>
            </w:r>
          </w:p>
        </w:tc>
        <w:tc>
          <w:tcPr>
            <w:tcW w:type="dxa" w:w="3744"/>
            <w:vAlign w:val="center"/>
          </w:tcPr>
          <w:p>
            <w:pPr>
              <w:spacing w:after="0"/>
            </w:pPr>
            <w:r/>
            <w:r>
              <w:rPr>
                <w:rFonts w:ascii="Arial" w:hAnsi="Arial"/>
                <w:b w:val="0"/>
                <w:sz w:val="16"/>
              </w:rPr>
              <w:t>Declined, cancelled, duplicated, incomplete or missing PSP confirmation is recorded.</w:t>
            </w:r>
          </w:p>
        </w:tc>
        <w:tc>
          <w:tcPr>
            <w:tcW w:type="dxa" w:w="2376"/>
            <w:vAlign w:val="center"/>
          </w:tcPr>
          <w:p>
            <w:pPr>
              <w:spacing w:after="0"/>
            </w:pPr>
            <w:r/>
            <w:r>
              <w:rPr>
                <w:rFonts w:ascii="Arial" w:hAnsi="Arial"/>
                <w:b w:val="0"/>
                <w:sz w:val="16"/>
              </w:rPr>
              <w:t>Notification, investigation or safe repeat-payment path.</w:t>
            </w:r>
          </w:p>
        </w:tc>
        <w:tc>
          <w:tcPr>
            <w:tcW w:type="dxa" w:w="2880"/>
            <w:vAlign w:val="center"/>
          </w:tcPr>
          <w:p>
            <w:pPr>
              <w:spacing w:after="0"/>
            </w:pPr>
            <w:r/>
            <w:r>
              <w:rPr>
                <w:rFonts w:ascii="Arial" w:hAnsi="Arial"/>
                <w:b w:val="0"/>
                <w:sz w:val="16"/>
              </w:rPr>
              <w:t>Finance Team; PSP</w:t>
            </w:r>
          </w:p>
        </w:tc>
        <w:tc>
          <w:tcPr>
            <w:tcW w:type="dxa" w:w="1656"/>
            <w:vAlign w:val="center"/>
          </w:tcPr>
          <w:p>
            <w:pPr>
              <w:spacing w:after="0"/>
            </w:pPr>
            <w:r/>
            <w:r>
              <w:rPr>
                <w:rFonts w:ascii="Arial" w:hAnsi="Arial"/>
                <w:b w:val="0"/>
                <w:sz w:val="16"/>
              </w:rPr>
              <w:t>No automatic repeat payment after missing confirmation.</w:t>
            </w:r>
          </w:p>
        </w:tc>
      </w:tr>
      <w:tr>
        <w:trPr>
          <w:cantSplit/>
        </w:trPr>
        <w:tc>
          <w:tcPr>
            <w:tcW w:type="dxa" w:w="2232"/>
            <w:vAlign w:val="center"/>
          </w:tcPr>
          <w:p>
            <w:pPr>
              <w:spacing w:after="0"/>
            </w:pPr>
            <w:r/>
            <w:r>
              <w:rPr>
                <w:rFonts w:ascii="Arial" w:hAnsi="Arial"/>
                <w:b w:val="0"/>
                <w:sz w:val="16"/>
              </w:rPr>
              <w:t>Refund processing</w:t>
            </w:r>
          </w:p>
        </w:tc>
        <w:tc>
          <w:tcPr>
            <w:tcW w:type="dxa" w:w="2376"/>
            <w:vAlign w:val="center"/>
          </w:tcPr>
          <w:p>
            <w:pPr>
              <w:spacing w:after="0"/>
            </w:pPr>
            <w:r/>
            <w:r>
              <w:rPr>
                <w:rFonts w:ascii="Arial" w:hAnsi="Arial"/>
                <w:b w:val="0"/>
                <w:sz w:val="16"/>
              </w:rPr>
              <w:t>Finance refund approval</w:t>
            </w:r>
          </w:p>
        </w:tc>
        <w:tc>
          <w:tcPr>
            <w:tcW w:type="dxa" w:w="3744"/>
            <w:vAlign w:val="center"/>
          </w:tcPr>
          <w:p>
            <w:pPr>
              <w:spacing w:after="0"/>
            </w:pPr>
            <w:r/>
            <w:r>
              <w:rPr>
                <w:rFonts w:ascii="Arial" w:hAnsi="Arial"/>
                <w:b w:val="0"/>
                <w:sz w:val="16"/>
              </w:rPr>
              <w:t>Paid appointment changed/cancelled and Finance assesses entitlement.</w:t>
            </w:r>
          </w:p>
        </w:tc>
        <w:tc>
          <w:tcPr>
            <w:tcW w:type="dxa" w:w="2376"/>
            <w:vAlign w:val="center"/>
          </w:tcPr>
          <w:p>
            <w:pPr>
              <w:spacing w:after="0"/>
            </w:pPr>
            <w:r/>
            <w:r>
              <w:rPr>
                <w:rFonts w:ascii="Arial" w:hAnsi="Arial"/>
                <w:b w:val="0"/>
                <w:sz w:val="16"/>
              </w:rPr>
              <w:t>Approved PSP refund request and recorded outcome.</w:t>
            </w:r>
          </w:p>
        </w:tc>
        <w:tc>
          <w:tcPr>
            <w:tcW w:type="dxa" w:w="2880"/>
            <w:vAlign w:val="center"/>
          </w:tcPr>
          <w:p>
            <w:pPr>
              <w:spacing w:after="0"/>
            </w:pPr>
            <w:r/>
            <w:r>
              <w:rPr>
                <w:rFonts w:ascii="Arial" w:hAnsi="Arial"/>
                <w:b w:val="0"/>
                <w:sz w:val="16"/>
              </w:rPr>
              <w:t>Finance Team; PSP</w:t>
            </w:r>
          </w:p>
        </w:tc>
        <w:tc>
          <w:tcPr>
            <w:tcW w:type="dxa" w:w="1656"/>
            <w:vAlign w:val="center"/>
          </w:tcPr>
          <w:p>
            <w:pPr>
              <w:spacing w:after="0"/>
            </w:pPr>
            <w:r/>
            <w:r>
              <w:rPr>
                <w:rFonts w:ascii="Arial" w:hAnsi="Arial"/>
                <w:b w:val="0"/>
                <w:sz w:val="16"/>
              </w:rPr>
              <w:t>Clinical information may inform, but does not confer financial authority.</w:t>
            </w:r>
          </w:p>
        </w:tc>
      </w:tr>
      <w:tr>
        <w:trPr>
          <w:cantSplit/>
        </w:trPr>
        <w:tc>
          <w:tcPr>
            <w:tcW w:type="dxa" w:w="2232"/>
            <w:vAlign w:val="center"/>
          </w:tcPr>
          <w:p>
            <w:pPr>
              <w:spacing w:after="0"/>
            </w:pPr>
            <w:r/>
            <w:r>
              <w:rPr>
                <w:rFonts w:ascii="Arial" w:hAnsi="Arial"/>
                <w:b w:val="0"/>
                <w:sz w:val="16"/>
              </w:rPr>
              <w:t>Next chemotherapy cycle / modification booking</w:t>
            </w:r>
          </w:p>
        </w:tc>
        <w:tc>
          <w:tcPr>
            <w:tcW w:type="dxa" w:w="2376"/>
            <w:vAlign w:val="center"/>
          </w:tcPr>
          <w:p>
            <w:pPr>
              <w:spacing w:after="0"/>
            </w:pPr>
            <w:r/>
            <w:r>
              <w:rPr>
                <w:rFonts w:ascii="Arial" w:hAnsi="Arial"/>
                <w:b w:val="0"/>
                <w:sz w:val="16"/>
              </w:rPr>
              <w:t>Clinical review and authorised modification where needed</w:t>
            </w:r>
          </w:p>
        </w:tc>
        <w:tc>
          <w:tcPr>
            <w:tcW w:type="dxa" w:w="3744"/>
            <w:vAlign w:val="center"/>
          </w:tcPr>
          <w:p>
            <w:pPr>
              <w:spacing w:after="0"/>
            </w:pPr>
            <w:r/>
            <w:r>
              <w:rPr>
                <w:rFonts w:ascii="Arial" w:hAnsi="Arial"/>
                <w:b w:val="0"/>
                <w:sz w:val="16"/>
              </w:rPr>
              <w:t>Clinical assessment and blood-test results determine fitness; formal request exists if changed.</w:t>
            </w:r>
          </w:p>
        </w:tc>
        <w:tc>
          <w:tcPr>
            <w:tcW w:type="dxa" w:w="2376"/>
            <w:vAlign w:val="center"/>
          </w:tcPr>
          <w:p>
            <w:pPr>
              <w:spacing w:after="0"/>
            </w:pPr>
            <w:r/>
            <w:r>
              <w:rPr>
                <w:rFonts w:ascii="Arial" w:hAnsi="Arial"/>
                <w:b w:val="0"/>
                <w:sz w:val="16"/>
              </w:rPr>
              <w:t>Cycle proceeds, is delayed, or amended booking is coordinated.</w:t>
            </w:r>
          </w:p>
        </w:tc>
        <w:tc>
          <w:tcPr>
            <w:tcW w:type="dxa" w:w="2880"/>
            <w:vAlign w:val="center"/>
          </w:tcPr>
          <w:p>
            <w:pPr>
              <w:spacing w:after="0"/>
            </w:pPr>
            <w:r/>
            <w:r>
              <w:rPr>
                <w:rFonts w:ascii="Arial" w:hAnsi="Arial"/>
                <w:b w:val="0"/>
                <w:sz w:val="16"/>
              </w:rPr>
              <w:t>Clinical professional; Treatment Bookings Team</w:t>
            </w:r>
          </w:p>
        </w:tc>
        <w:tc>
          <w:tcPr>
            <w:tcW w:type="dxa" w:w="1656"/>
            <w:vAlign w:val="center"/>
          </w:tcPr>
          <w:p>
            <w:pPr>
              <w:spacing w:after="0"/>
            </w:pPr>
            <w:r/>
            <w:r>
              <w:rPr>
                <w:rFonts w:ascii="Arial" w:hAnsi="Arial"/>
                <w:b w:val="0"/>
                <w:sz w:val="16"/>
              </w:rPr>
              <w:t>Financial impact of a change is referred to Finance.</w:t>
            </w:r>
          </w:p>
        </w:tc>
      </w:tr>
      <w:tr>
        <w:trPr>
          <w:cantSplit/>
        </w:trPr>
        <w:tc>
          <w:tcPr>
            <w:tcW w:type="dxa" w:w="2232"/>
            <w:vAlign w:val="center"/>
          </w:tcPr>
          <w:p>
            <w:pPr>
              <w:spacing w:after="0"/>
            </w:pPr>
            <w:r/>
            <w:r>
              <w:rPr>
                <w:rFonts w:ascii="Arial" w:hAnsi="Arial"/>
                <w:b w:val="0"/>
                <w:sz w:val="16"/>
              </w:rPr>
              <w:t>Clinic Letter distribution</w:t>
            </w:r>
          </w:p>
        </w:tc>
        <w:tc>
          <w:tcPr>
            <w:tcW w:type="dxa" w:w="2376"/>
            <w:vAlign w:val="center"/>
          </w:tcPr>
          <w:p>
            <w:pPr>
              <w:spacing w:after="0"/>
            </w:pPr>
            <w:r/>
            <w:r>
              <w:rPr>
                <w:rFonts w:ascii="Arial" w:hAnsi="Arial"/>
                <w:b w:val="0"/>
                <w:sz w:val="16"/>
              </w:rPr>
              <w:t>Consultant approval</w:t>
            </w:r>
          </w:p>
        </w:tc>
        <w:tc>
          <w:tcPr>
            <w:tcW w:type="dxa" w:w="3744"/>
            <w:vAlign w:val="center"/>
          </w:tcPr>
          <w:p>
            <w:pPr>
              <w:spacing w:after="0"/>
            </w:pPr>
            <w:r/>
            <w:r>
              <w:rPr>
                <w:rFonts w:ascii="Arial" w:hAnsi="Arial"/>
                <w:b w:val="0"/>
                <w:sz w:val="16"/>
              </w:rPr>
              <w:t>Clinical content and recipients are completed and approved.</w:t>
            </w:r>
          </w:p>
        </w:tc>
        <w:tc>
          <w:tcPr>
            <w:tcW w:type="dxa" w:w="2376"/>
            <w:vAlign w:val="center"/>
          </w:tcPr>
          <w:p>
            <w:pPr>
              <w:spacing w:after="0"/>
            </w:pPr>
            <w:r/>
            <w:r>
              <w:rPr>
                <w:rFonts w:ascii="Arial" w:hAnsi="Arial"/>
                <w:b w:val="0"/>
                <w:sz w:val="16"/>
              </w:rPr>
              <w:t>Medical Secretaries can process and distribute.</w:t>
            </w:r>
          </w:p>
        </w:tc>
        <w:tc>
          <w:tcPr>
            <w:tcW w:type="dxa" w:w="2880"/>
            <w:vAlign w:val="center"/>
          </w:tcPr>
          <w:p>
            <w:pPr>
              <w:spacing w:after="0"/>
            </w:pPr>
            <w:r/>
            <w:r>
              <w:rPr>
                <w:rFonts w:ascii="Arial" w:hAnsi="Arial"/>
                <w:b w:val="0"/>
                <w:sz w:val="16"/>
              </w:rPr>
              <w:t>Consultant; Medical Secretaries; correspondence service</w:t>
            </w:r>
          </w:p>
        </w:tc>
        <w:tc>
          <w:tcPr>
            <w:tcW w:type="dxa" w:w="1656"/>
            <w:vAlign w:val="center"/>
          </w:tcPr>
          <w:p>
            <w:pPr>
              <w:spacing w:after="0"/>
            </w:pPr>
            <w:r/>
            <w:r>
              <w:rPr>
                <w:rFonts w:ascii="Arial" w:hAnsi="Arial"/>
                <w:b w:val="0"/>
                <w:sz w:val="16"/>
              </w:rPr>
              <w:t>Administrative changes cannot alter clinical meaning.</w:t>
            </w:r>
          </w:p>
        </w:tc>
      </w:tr>
      <w:tr>
        <w:trPr>
          <w:cantSplit/>
        </w:trPr>
        <w:tc>
          <w:tcPr>
            <w:tcW w:type="dxa" w:w="2232"/>
            <w:vAlign w:val="center"/>
          </w:tcPr>
          <w:p>
            <w:pPr>
              <w:spacing w:after="0"/>
            </w:pPr>
            <w:r/>
            <w:r>
              <w:rPr>
                <w:rFonts w:ascii="Arial" w:hAnsi="Arial"/>
                <w:b w:val="0"/>
                <w:sz w:val="16"/>
              </w:rPr>
              <w:t>Letter delay escalation</w:t>
            </w:r>
          </w:p>
        </w:tc>
        <w:tc>
          <w:tcPr>
            <w:tcW w:type="dxa" w:w="2376"/>
            <w:vAlign w:val="center"/>
          </w:tcPr>
          <w:p>
            <w:pPr>
              <w:spacing w:after="0"/>
            </w:pPr>
            <w:r/>
            <w:r>
              <w:rPr>
                <w:rFonts w:ascii="Arial" w:hAnsi="Arial"/>
                <w:b w:val="0"/>
                <w:sz w:val="16"/>
              </w:rPr>
              <w:t>Letter status and elapsed time</w:t>
            </w:r>
          </w:p>
        </w:tc>
        <w:tc>
          <w:tcPr>
            <w:tcW w:type="dxa" w:w="3744"/>
            <w:vAlign w:val="center"/>
          </w:tcPr>
          <w:p>
            <w:pPr>
              <w:spacing w:after="0"/>
            </w:pPr>
            <w:r/>
            <w:r>
              <w:rPr>
                <w:rFonts w:ascii="Arial" w:hAnsi="Arial"/>
                <w:b w:val="0"/>
                <w:sz w:val="16"/>
              </w:rPr>
              <w:t>Appointment date and incomplete/unapproved status exceed thresholds.</w:t>
            </w:r>
          </w:p>
        </w:tc>
        <w:tc>
          <w:tcPr>
            <w:tcW w:type="dxa" w:w="2376"/>
            <w:vAlign w:val="center"/>
          </w:tcPr>
          <w:p>
            <w:pPr>
              <w:spacing w:after="0"/>
            </w:pPr>
            <w:r/>
            <w:r>
              <w:rPr>
                <w:rFonts w:ascii="Arial" w:hAnsi="Arial"/>
                <w:b w:val="0"/>
                <w:sz w:val="16"/>
              </w:rPr>
              <w:t>Weekly reminder, one-month or three-month escalation.</w:t>
            </w:r>
          </w:p>
        </w:tc>
        <w:tc>
          <w:tcPr>
            <w:tcW w:type="dxa" w:w="2880"/>
            <w:vAlign w:val="center"/>
          </w:tcPr>
          <w:p>
            <w:pPr>
              <w:spacing w:after="0"/>
            </w:pPr>
            <w:r/>
            <w:r>
              <w:rPr>
                <w:rFonts w:ascii="Arial" w:hAnsi="Arial"/>
                <w:b w:val="0"/>
                <w:sz w:val="16"/>
              </w:rPr>
              <w:t>Pathway Coordinators; Administrative Manager; higher management</w:t>
            </w:r>
          </w:p>
        </w:tc>
        <w:tc>
          <w:tcPr>
            <w:tcW w:type="dxa" w:w="1656"/>
            <w:vAlign w:val="center"/>
          </w:tcPr>
          <w:p>
            <w:pPr>
              <w:spacing w:after="0"/>
            </w:pPr>
            <w:r/>
            <w:r>
              <w:rPr>
                <w:rFonts w:ascii="Arial" w:hAnsi="Arial"/>
                <w:b w:val="0"/>
                <w:sz w:val="16"/>
              </w:rPr>
              <w:t>Completion must suppress unnecessary repeated reminders.</w:t>
            </w:r>
          </w:p>
        </w:tc>
      </w:tr>
      <w:tr>
        <w:trPr>
          <w:cantSplit/>
        </w:trPr>
        <w:tc>
          <w:tcPr>
            <w:tcW w:type="dxa" w:w="2232"/>
            <w:vAlign w:val="center"/>
          </w:tcPr>
          <w:p>
            <w:pPr>
              <w:spacing w:after="0"/>
            </w:pPr>
            <w:r/>
            <w:r>
              <w:rPr>
                <w:rFonts w:ascii="Arial" w:hAnsi="Arial"/>
                <w:b w:val="0"/>
                <w:sz w:val="16"/>
              </w:rPr>
              <w:t>Follow-up booking</w:t>
            </w:r>
          </w:p>
        </w:tc>
        <w:tc>
          <w:tcPr>
            <w:tcW w:type="dxa" w:w="2376"/>
            <w:vAlign w:val="center"/>
          </w:tcPr>
          <w:p>
            <w:pPr>
              <w:spacing w:after="0"/>
            </w:pPr>
            <w:r/>
            <w:r>
              <w:rPr>
                <w:rFonts w:ascii="Arial" w:hAnsi="Arial"/>
                <w:b w:val="0"/>
                <w:sz w:val="16"/>
              </w:rPr>
              <w:t>Authorised clinical request</w:t>
            </w:r>
          </w:p>
        </w:tc>
        <w:tc>
          <w:tcPr>
            <w:tcW w:type="dxa" w:w="3744"/>
            <w:vAlign w:val="center"/>
          </w:tcPr>
          <w:p>
            <w:pPr>
              <w:spacing w:after="0"/>
            </w:pPr>
            <w:r/>
            <w:r>
              <w:rPr>
                <w:rFonts w:ascii="Arial" w:hAnsi="Arial"/>
                <w:b w:val="0"/>
                <w:sz w:val="16"/>
              </w:rPr>
              <w:t>Consultant/authorised professional specifies review timeframe.</w:t>
            </w:r>
          </w:p>
        </w:tc>
        <w:tc>
          <w:tcPr>
            <w:tcW w:type="dxa" w:w="2376"/>
            <w:vAlign w:val="center"/>
          </w:tcPr>
          <w:p>
            <w:pPr>
              <w:spacing w:after="0"/>
            </w:pPr>
            <w:r/>
            <w:r>
              <w:rPr>
                <w:rFonts w:ascii="Arial" w:hAnsi="Arial"/>
                <w:b w:val="0"/>
                <w:sz w:val="16"/>
              </w:rPr>
              <w:t>Scheduling search and patient notification, or highlighted exception.</w:t>
            </w:r>
          </w:p>
        </w:tc>
        <w:tc>
          <w:tcPr>
            <w:tcW w:type="dxa" w:w="2880"/>
            <w:vAlign w:val="center"/>
          </w:tcPr>
          <w:p>
            <w:pPr>
              <w:spacing w:after="0"/>
            </w:pPr>
            <w:r/>
            <w:r>
              <w:rPr>
                <w:rFonts w:ascii="Arial" w:hAnsi="Arial"/>
                <w:b w:val="0"/>
                <w:sz w:val="16"/>
              </w:rPr>
              <w:t>Clinical professional; Outpatient Bookings Team; external scheduling</w:t>
            </w:r>
          </w:p>
        </w:tc>
        <w:tc>
          <w:tcPr>
            <w:tcW w:type="dxa" w:w="1656"/>
            <w:vAlign w:val="center"/>
          </w:tcPr>
          <w:p>
            <w:pPr>
              <w:spacing w:after="0"/>
            </w:pPr>
            <w:r/>
            <w:r>
              <w:rPr>
                <w:rFonts w:ascii="Arial" w:hAnsi="Arial"/>
                <w:b w:val="0"/>
                <w:sz w:val="16"/>
              </w:rPr>
              <w:t>No silent booking outside clinical timeframe.</w:t>
            </w:r>
          </w:p>
        </w:tc>
      </w:tr>
      <w:tr>
        <w:trPr>
          <w:cantSplit/>
        </w:trPr>
        <w:tc>
          <w:tcPr>
            <w:tcW w:type="dxa" w:w="2232"/>
            <w:vAlign w:val="center"/>
          </w:tcPr>
          <w:p>
            <w:pPr>
              <w:spacing w:after="0"/>
            </w:pPr>
            <w:r/>
            <w:r>
              <w:rPr>
                <w:rFonts w:ascii="Arial" w:hAnsi="Arial"/>
                <w:b w:val="0"/>
                <w:sz w:val="16"/>
              </w:rPr>
              <w:t>Cancellation/non-attendance financial action</w:t>
            </w:r>
          </w:p>
        </w:tc>
        <w:tc>
          <w:tcPr>
            <w:tcW w:type="dxa" w:w="2376"/>
            <w:vAlign w:val="center"/>
          </w:tcPr>
          <w:p>
            <w:pPr>
              <w:spacing w:after="0"/>
            </w:pPr>
            <w:r/>
            <w:r>
              <w:rPr>
                <w:rFonts w:ascii="Arial" w:hAnsi="Arial"/>
                <w:b w:val="0"/>
                <w:sz w:val="16"/>
              </w:rPr>
              <w:t>Cancellation/decline/no-show and payment status</w:t>
            </w:r>
          </w:p>
        </w:tc>
        <w:tc>
          <w:tcPr>
            <w:tcW w:type="dxa" w:w="3744"/>
            <w:vAlign w:val="center"/>
          </w:tcPr>
          <w:p>
            <w:pPr>
              <w:spacing w:after="0"/>
            </w:pPr>
            <w:r/>
            <w:r>
              <w:rPr>
                <w:rFonts w:ascii="Arial" w:hAnsi="Arial"/>
                <w:b w:val="0"/>
                <w:sz w:val="16"/>
              </w:rPr>
              <w:t>Event and associated paid appointment are recorded.</w:t>
            </w:r>
          </w:p>
        </w:tc>
        <w:tc>
          <w:tcPr>
            <w:tcW w:type="dxa" w:w="2376"/>
            <w:vAlign w:val="center"/>
          </w:tcPr>
          <w:p>
            <w:pPr>
              <w:spacing w:after="0"/>
            </w:pPr>
            <w:r/>
            <w:r>
              <w:rPr>
                <w:rFonts w:ascii="Arial" w:hAnsi="Arial"/>
                <w:b w:val="0"/>
                <w:sz w:val="16"/>
              </w:rPr>
              <w:t>Finance decision to retain, transfer or refund payment.</w:t>
            </w:r>
          </w:p>
        </w:tc>
        <w:tc>
          <w:tcPr>
            <w:tcW w:type="dxa" w:w="2880"/>
            <w:vAlign w:val="center"/>
          </w:tcPr>
          <w:p>
            <w:pPr>
              <w:spacing w:after="0"/>
            </w:pPr>
            <w:r/>
            <w:r>
              <w:rPr>
                <w:rFonts w:ascii="Arial" w:hAnsi="Arial"/>
                <w:b w:val="0"/>
                <w:sz w:val="16"/>
              </w:rPr>
              <w:t>Bookings Team; Finance Team</w:t>
            </w:r>
          </w:p>
        </w:tc>
        <w:tc>
          <w:tcPr>
            <w:tcW w:type="dxa" w:w="1656"/>
            <w:vAlign w:val="center"/>
          </w:tcPr>
          <w:p>
            <w:pPr>
              <w:spacing w:after="0"/>
            </w:pPr>
            <w:r/>
            <w:r>
              <w:rPr>
                <w:rFonts w:ascii="Arial" w:hAnsi="Arial"/>
                <w:b w:val="0"/>
                <w:sz w:val="16"/>
              </w:rPr>
              <w:t>Clinical decision about continuation, delay or discharge remains clinical.</w:t>
            </w:r>
          </w:p>
        </w:tc>
      </w:tr>
      <w:tr>
        <w:trPr>
          <w:cantSplit/>
        </w:trPr>
        <w:tc>
          <w:tcPr>
            <w:tcW w:type="dxa" w:w="2232"/>
            <w:vAlign w:val="center"/>
          </w:tcPr>
          <w:p>
            <w:pPr>
              <w:spacing w:after="0"/>
            </w:pPr>
            <w:r/>
            <w:r>
              <w:rPr>
                <w:rFonts w:ascii="Arial" w:hAnsi="Arial"/>
                <w:b w:val="0"/>
                <w:sz w:val="16"/>
              </w:rPr>
              <w:t>All operational processes</w:t>
            </w:r>
          </w:p>
        </w:tc>
        <w:tc>
          <w:tcPr>
            <w:tcW w:type="dxa" w:w="2376"/>
            <w:vAlign w:val="center"/>
          </w:tcPr>
          <w:p>
            <w:pPr>
              <w:spacing w:after="0"/>
            </w:pPr>
            <w:r/>
            <w:r>
              <w:rPr>
                <w:rFonts w:ascii="Arial" w:hAnsi="Arial"/>
                <w:b w:val="0"/>
                <w:sz w:val="16"/>
              </w:rPr>
              <w:t>RBAC and audit capability</w:t>
            </w:r>
          </w:p>
        </w:tc>
        <w:tc>
          <w:tcPr>
            <w:tcW w:type="dxa" w:w="3744"/>
            <w:vAlign w:val="center"/>
          </w:tcPr>
          <w:p>
            <w:pPr>
              <w:spacing w:after="0"/>
            </w:pPr>
            <w:r/>
            <w:r>
              <w:rPr>
                <w:rFonts w:ascii="Arial" w:hAnsi="Arial"/>
                <w:b w:val="0"/>
                <w:sz w:val="16"/>
              </w:rPr>
              <w:t>Authenticated role access, correct patient identification and significant-action recording.</w:t>
            </w:r>
          </w:p>
        </w:tc>
        <w:tc>
          <w:tcPr>
            <w:tcW w:type="dxa" w:w="2376"/>
            <w:vAlign w:val="center"/>
          </w:tcPr>
          <w:p>
            <w:pPr>
              <w:spacing w:after="0"/>
            </w:pPr>
            <w:r/>
            <w:r>
              <w:rPr>
                <w:rFonts w:ascii="Arial" w:hAnsi="Arial"/>
                <w:b w:val="0"/>
                <w:sz w:val="16"/>
              </w:rPr>
              <w:t>Permitted action plus immutable audit event and, when needed, downtime back-entry.</w:t>
            </w:r>
          </w:p>
        </w:tc>
        <w:tc>
          <w:tcPr>
            <w:tcW w:type="dxa" w:w="2880"/>
            <w:vAlign w:val="center"/>
          </w:tcPr>
          <w:p>
            <w:pPr>
              <w:spacing w:after="0"/>
            </w:pPr>
            <w:r/>
            <w:r>
              <w:rPr>
                <w:rFonts w:ascii="Arial" w:hAnsi="Arial"/>
                <w:b w:val="0"/>
                <w:sz w:val="16"/>
              </w:rPr>
              <w:t>All teams; authorised audit/system users</w:t>
            </w:r>
          </w:p>
        </w:tc>
        <w:tc>
          <w:tcPr>
            <w:tcW w:type="dxa" w:w="1656"/>
            <w:vAlign w:val="center"/>
          </w:tcPr>
          <w:p>
            <w:pPr>
              <w:spacing w:after="0"/>
            </w:pPr>
            <w:r/>
            <w:r>
              <w:rPr>
                <w:rFonts w:ascii="Arial" w:hAnsi="Arial"/>
                <w:b w:val="0"/>
                <w:sz w:val="16"/>
              </w:rPr>
              <w:t>Audit records are not editable by ordinary users.</w:t>
            </w:r>
          </w:p>
        </w:tc>
      </w:tr>
      <w:tr>
        <w:trPr>
          <w:cantSplit/>
        </w:trPr>
        <w:tc>
          <w:tcPr>
            <w:tcW w:type="dxa" w:w="2232"/>
            <w:vAlign w:val="center"/>
          </w:tcPr>
          <w:p>
            <w:pPr>
              <w:spacing w:after="0"/>
            </w:pPr>
            <w:r/>
            <w:r>
              <w:rPr>
                <w:rFonts w:ascii="Arial" w:hAnsi="Arial"/>
                <w:b w:val="0"/>
                <w:sz w:val="16"/>
              </w:rPr>
              <w:t>Management reporting</w:t>
            </w:r>
          </w:p>
        </w:tc>
        <w:tc>
          <w:tcPr>
            <w:tcW w:type="dxa" w:w="2376"/>
            <w:vAlign w:val="center"/>
          </w:tcPr>
          <w:p>
            <w:pPr>
              <w:spacing w:after="0"/>
            </w:pPr>
            <w:r/>
            <w:r>
              <w:rPr>
                <w:rFonts w:ascii="Arial" w:hAnsi="Arial"/>
                <w:b w:val="0"/>
                <w:sz w:val="16"/>
              </w:rPr>
              <w:t>Reliable process records</w:t>
            </w:r>
          </w:p>
        </w:tc>
        <w:tc>
          <w:tcPr>
            <w:tcW w:type="dxa" w:w="3744"/>
            <w:vAlign w:val="center"/>
          </w:tcPr>
          <w:p>
            <w:pPr>
              <w:spacing w:after="0"/>
            </w:pPr>
            <w:r/>
            <w:r>
              <w:rPr>
                <w:rFonts w:ascii="Arial" w:hAnsi="Arial"/>
                <w:b w:val="0"/>
                <w:sz w:val="16"/>
              </w:rPr>
              <w:t>Referral, booking, contact, letter, enquiry, funding, payment, refund and pathway data are recorded.</w:t>
            </w:r>
          </w:p>
        </w:tc>
        <w:tc>
          <w:tcPr>
            <w:tcW w:type="dxa" w:w="2376"/>
            <w:vAlign w:val="center"/>
          </w:tcPr>
          <w:p>
            <w:pPr>
              <w:spacing w:after="0"/>
            </w:pPr>
            <w:r/>
            <w:r>
              <w:rPr>
                <w:rFonts w:ascii="Arial" w:hAnsi="Arial"/>
                <w:b w:val="0"/>
                <w:sz w:val="16"/>
              </w:rPr>
              <w:t>Operational and pathway reports.</w:t>
            </w:r>
          </w:p>
        </w:tc>
        <w:tc>
          <w:tcPr>
            <w:tcW w:type="dxa" w:w="2880"/>
            <w:vAlign w:val="center"/>
          </w:tcPr>
          <w:p>
            <w:pPr>
              <w:spacing w:after="0"/>
            </w:pPr>
            <w:r/>
            <w:r>
              <w:rPr>
                <w:rFonts w:ascii="Arial" w:hAnsi="Arial"/>
                <w:b w:val="0"/>
                <w:sz w:val="16"/>
              </w:rPr>
              <w:t>Administrative Management Team; management</w:t>
            </w:r>
          </w:p>
        </w:tc>
        <w:tc>
          <w:tcPr>
            <w:tcW w:type="dxa" w:w="1656"/>
            <w:vAlign w:val="center"/>
          </w:tcPr>
          <w:p>
            <w:pPr>
              <w:spacing w:after="0"/>
            </w:pPr>
            <w:r/>
            <w:r>
              <w:rPr>
                <w:rFonts w:ascii="Arial" w:hAnsi="Arial"/>
                <w:b w:val="0"/>
                <w:sz w:val="16"/>
              </w:rPr>
              <w:t>Reports depend on complete, timely process data and audited records.</w:t>
            </w:r>
          </w:p>
        </w:tc>
      </w:tr>
    </w:tbl>
    <w:p/>
    <w:p>
      <w:pPr>
        <w:pStyle w:val="Heading1"/>
      </w:pPr>
      <w:r>
        <w:t>7. Ambiguities and Assumptions</w:t>
      </w:r>
    </w:p>
    <w:p>
      <w:r>
        <w:t>The following items are not fully specified in the case study. They are deliberately not treated as confirmed requirements.</w:t>
      </w:r>
    </w:p>
    <w:tbl>
      <w:tblPr>
        <w:tblStyle w:val="TableGrid"/>
        <w:tblW w:type="auto" w:w="0"/>
        <w:jc w:val="center"/>
        <w:tblLayout w:type="fixed"/>
        <w:tblLook w:firstColumn="1" w:firstRow="1" w:lastColumn="0" w:lastRow="0" w:noHBand="0" w:noVBand="1" w:val="04A0"/>
      </w:tblPr>
      <w:tblGrid>
        <w:gridCol w:w="5083"/>
        <w:gridCol w:w="5083"/>
        <w:gridCol w:w="5083"/>
      </w:tblGrid>
      <w:tr>
        <w:trPr>
          <w:tblHeader w:val="true"/>
        </w:trPr>
        <w:tc>
          <w:tcPr>
            <w:tcW w:type="dxa" w:w="3672"/>
            <w:vAlign w:val="center"/>
            <w:shd w:fill="1F4E78"/>
          </w:tcPr>
          <w:p>
            <w:pPr>
              <w:spacing w:after="0"/>
            </w:pPr>
            <w:r/>
            <w:r>
              <w:rPr>
                <w:rFonts w:ascii="Arial" w:hAnsi="Arial"/>
                <w:b/>
                <w:color w:val="FFFFFF"/>
                <w:sz w:val="16"/>
              </w:rPr>
              <w:t>Area of ambiguity</w:t>
            </w:r>
          </w:p>
        </w:tc>
        <w:tc>
          <w:tcPr>
            <w:tcW w:type="dxa" w:w="5472"/>
            <w:vAlign w:val="center"/>
            <w:shd w:fill="1F4E78"/>
          </w:tcPr>
          <w:p>
            <w:pPr>
              <w:spacing w:after="0"/>
            </w:pPr>
            <w:r/>
            <w:r>
              <w:rPr>
                <w:rFonts w:ascii="Arial" w:hAnsi="Arial"/>
                <w:b/>
                <w:color w:val="FFFFFF"/>
                <w:sz w:val="16"/>
              </w:rPr>
              <w:t>Required statement</w:t>
            </w:r>
          </w:p>
        </w:tc>
        <w:tc>
          <w:tcPr>
            <w:tcW w:type="dxa" w:w="6120"/>
            <w:vAlign w:val="center"/>
            <w:shd w:fill="1F4E78"/>
          </w:tcPr>
          <w:p>
            <w:pPr>
              <w:spacing w:after="0"/>
            </w:pPr>
            <w:r/>
            <w:r>
              <w:rPr>
                <w:rFonts w:ascii="Arial" w:hAnsi="Arial"/>
                <w:b/>
                <w:color w:val="FFFFFF"/>
                <w:sz w:val="16"/>
              </w:rPr>
              <w:t>Clearly labelled reasonable assumption</w:t>
            </w:r>
          </w:p>
        </w:tc>
      </w:tr>
      <w:tr>
        <w:trPr>
          <w:cantSplit/>
        </w:trPr>
        <w:tc>
          <w:tcPr>
            <w:tcW w:type="dxa" w:w="3672"/>
            <w:vAlign w:val="center"/>
          </w:tcPr>
          <w:p>
            <w:pPr>
              <w:spacing w:after="0"/>
            </w:pPr>
            <w:r/>
            <w:r>
              <w:rPr>
                <w:rFonts w:ascii="Arial" w:hAnsi="Arial"/>
                <w:b w:val="0"/>
                <w:sz w:val="16"/>
              </w:rPr>
              <w:t>Definition of referral completeness</w:t>
            </w:r>
          </w:p>
        </w:tc>
        <w:tc>
          <w:tcPr>
            <w:tcW w:type="dxa" w:w="5472"/>
            <w:vAlign w:val="center"/>
          </w:tcPr>
          <w:p>
            <w:pPr>
              <w:spacing w:after="0"/>
            </w:pPr>
            <w:r/>
            <w:r>
              <w:rPr>
                <w:rFonts w:ascii="Arial" w:hAnsi="Arial"/>
                <w:b w:val="0"/>
                <w:sz w:val="16"/>
              </w:rPr>
              <w:t>Requires confirmation from Tutor/Stakeholder. The case gives examples of expected documentation but no mandatory checklist by speciality.</w:t>
            </w:r>
          </w:p>
        </w:tc>
        <w:tc>
          <w:tcPr>
            <w:tcW w:type="dxa" w:w="6120"/>
            <w:vAlign w:val="center"/>
          </w:tcPr>
          <w:p>
            <w:pPr>
              <w:spacing w:after="0"/>
            </w:pPr>
            <w:r/>
            <w:r>
              <w:rPr>
                <w:rFonts w:ascii="Arial" w:hAnsi="Arial"/>
                <w:b w:val="0"/>
                <w:sz w:val="16"/>
              </w:rPr>
              <w:t>Assumption: each speciality will maintain an approved, version-controlled completeness checklist; Medical Secretaries use it only for administrative checking.</w:t>
            </w:r>
          </w:p>
        </w:tc>
      </w:tr>
      <w:tr>
        <w:trPr>
          <w:cantSplit/>
        </w:trPr>
        <w:tc>
          <w:tcPr>
            <w:tcW w:type="dxa" w:w="3672"/>
            <w:vAlign w:val="center"/>
          </w:tcPr>
          <w:p>
            <w:pPr>
              <w:spacing w:after="0"/>
            </w:pPr>
            <w:r/>
            <w:r>
              <w:rPr>
                <w:rFonts w:ascii="Arial" w:hAnsi="Arial"/>
                <w:b w:val="0"/>
                <w:sz w:val="16"/>
              </w:rPr>
              <w:t>Urgent referral rule and escalation timescale</w:t>
            </w:r>
          </w:p>
        </w:tc>
        <w:tc>
          <w:tcPr>
            <w:tcW w:type="dxa" w:w="5472"/>
            <w:vAlign w:val="center"/>
          </w:tcPr>
          <w:p>
            <w:pPr>
              <w:spacing w:after="0"/>
            </w:pPr>
            <w:r/>
            <w:r>
              <w:rPr>
                <w:rFonts w:ascii="Arial" w:hAnsi="Arial"/>
                <w:b w:val="0"/>
                <w:sz w:val="16"/>
              </w:rPr>
              <w:t>Requires confirmation from Tutor/Stakeholder. Urgent referrals must not wait for normal administrative timescales, but the case gives no trigger criteria, target response time or escalation owner.</w:t>
            </w:r>
          </w:p>
        </w:tc>
        <w:tc>
          <w:tcPr>
            <w:tcW w:type="dxa" w:w="6120"/>
            <w:vAlign w:val="center"/>
          </w:tcPr>
          <w:p>
            <w:pPr>
              <w:spacing w:after="0"/>
            </w:pPr>
            <w:r/>
            <w:r>
              <w:rPr>
                <w:rFonts w:ascii="Arial" w:hAnsi="Arial"/>
                <w:b w:val="0"/>
                <w:sz w:val="16"/>
              </w:rPr>
              <w:t>Assumption: the Consultant marks urgency and priority in the authorised decision/booking request; any unavailable urgent slot is escalated immediately to the relevant pathway/clinical owner.</w:t>
            </w:r>
          </w:p>
        </w:tc>
      </w:tr>
      <w:tr>
        <w:trPr>
          <w:cantSplit/>
        </w:trPr>
        <w:tc>
          <w:tcPr>
            <w:tcW w:type="dxa" w:w="3672"/>
            <w:vAlign w:val="center"/>
          </w:tcPr>
          <w:p>
            <w:pPr>
              <w:spacing w:after="0"/>
            </w:pPr>
            <w:r/>
            <w:r>
              <w:rPr>
                <w:rFonts w:ascii="Arial" w:hAnsi="Arial"/>
                <w:b w:val="0"/>
                <w:sz w:val="16"/>
              </w:rPr>
              <w:t>Unanswered telephone-call follow-up</w:t>
            </w:r>
          </w:p>
        </w:tc>
        <w:tc>
          <w:tcPr>
            <w:tcW w:type="dxa" w:w="5472"/>
            <w:vAlign w:val="center"/>
          </w:tcPr>
          <w:p>
            <w:pPr>
              <w:spacing w:after="0"/>
            </w:pPr>
            <w:r/>
            <w:r>
              <w:rPr>
                <w:rFonts w:ascii="Arial" w:hAnsi="Arial"/>
                <w:b w:val="0"/>
                <w:sz w:val="16"/>
              </w:rPr>
              <w:t>Requires confirmation from Tutor/Stakeholder. The case requires each attempt/outcome to be recorded but does not specify retry number, interval or alternative channel.</w:t>
            </w:r>
          </w:p>
        </w:tc>
        <w:tc>
          <w:tcPr>
            <w:tcW w:type="dxa" w:w="6120"/>
            <w:vAlign w:val="center"/>
          </w:tcPr>
          <w:p>
            <w:pPr>
              <w:spacing w:after="0"/>
            </w:pPr>
            <w:r/>
            <w:r>
              <w:rPr>
                <w:rFonts w:ascii="Arial" w:hAnsi="Arial"/>
                <w:b w:val="0"/>
                <w:sz w:val="16"/>
              </w:rPr>
              <w:t>Assumption: a configurable local contact protocol controls retries and escalation; the system records each attempt without treating non-response as patient cancellation.</w:t>
            </w:r>
          </w:p>
        </w:tc>
      </w:tr>
      <w:tr>
        <w:trPr>
          <w:cantSplit/>
        </w:trPr>
        <w:tc>
          <w:tcPr>
            <w:tcW w:type="dxa" w:w="3672"/>
            <w:vAlign w:val="center"/>
          </w:tcPr>
          <w:p>
            <w:pPr>
              <w:spacing w:after="0"/>
            </w:pPr>
            <w:r/>
            <w:r>
              <w:rPr>
                <w:rFonts w:ascii="Arial" w:hAnsi="Arial"/>
                <w:b w:val="0"/>
                <w:sz w:val="16"/>
              </w:rPr>
              <w:t>Incorrect contact details verification</w:t>
            </w:r>
          </w:p>
        </w:tc>
        <w:tc>
          <w:tcPr>
            <w:tcW w:type="dxa" w:w="5472"/>
            <w:vAlign w:val="center"/>
          </w:tcPr>
          <w:p>
            <w:pPr>
              <w:spacing w:after="0"/>
            </w:pPr>
            <w:r/>
            <w:r>
              <w:rPr>
                <w:rFonts w:ascii="Arial" w:hAnsi="Arial"/>
                <w:b w:val="0"/>
                <w:sz w:val="16"/>
              </w:rPr>
              <w:t>Requires confirmation from Tutor/Stakeholder. The case identifies incorrect numbers but not the approved source or identity-verification method for correction.</w:t>
            </w:r>
          </w:p>
        </w:tc>
        <w:tc>
          <w:tcPr>
            <w:tcW w:type="dxa" w:w="6120"/>
            <w:vAlign w:val="center"/>
          </w:tcPr>
          <w:p>
            <w:pPr>
              <w:spacing w:after="0"/>
            </w:pPr>
            <w:r/>
            <w:r>
              <w:rPr>
                <w:rFonts w:ascii="Arial" w:hAnsi="Arial"/>
                <w:b w:val="0"/>
                <w:sz w:val="16"/>
              </w:rPr>
              <w:t>Assumption: contact details are amended only through an authorised verification procedure and the change is audited.</w:t>
            </w:r>
          </w:p>
        </w:tc>
      </w:tr>
      <w:tr>
        <w:trPr>
          <w:cantSplit/>
        </w:trPr>
        <w:tc>
          <w:tcPr>
            <w:tcW w:type="dxa" w:w="3672"/>
            <w:vAlign w:val="center"/>
          </w:tcPr>
          <w:p>
            <w:pPr>
              <w:spacing w:after="0"/>
            </w:pPr>
            <w:r/>
            <w:r>
              <w:rPr>
                <w:rFonts w:ascii="Arial" w:hAnsi="Arial"/>
                <w:b w:val="0"/>
                <w:sz w:val="16"/>
              </w:rPr>
              <w:t>No suitable appointment available</w:t>
            </w:r>
          </w:p>
        </w:tc>
        <w:tc>
          <w:tcPr>
            <w:tcW w:type="dxa" w:w="5472"/>
            <w:vAlign w:val="center"/>
          </w:tcPr>
          <w:p>
            <w:pPr>
              <w:spacing w:after="0"/>
            </w:pPr>
            <w:r/>
            <w:r>
              <w:rPr>
                <w:rFonts w:ascii="Arial" w:hAnsi="Arial"/>
                <w:b w:val="0"/>
                <w:sz w:val="16"/>
              </w:rPr>
              <w:t>Requires confirmation from Tutor/Stakeholder. The case requires highlighting and referral but does not name the accountable pathway team or the resolution target.</w:t>
            </w:r>
          </w:p>
        </w:tc>
        <w:tc>
          <w:tcPr>
            <w:tcW w:type="dxa" w:w="6120"/>
            <w:vAlign w:val="center"/>
          </w:tcPr>
          <w:p>
            <w:pPr>
              <w:spacing w:after="0"/>
            </w:pPr>
            <w:r/>
            <w:r>
              <w:rPr>
                <w:rFonts w:ascii="Arial" w:hAnsi="Arial"/>
                <w:b w:val="0"/>
                <w:sz w:val="16"/>
              </w:rPr>
              <w:t>Assumption: the system routes the exception to the named relevant pathway team and preserves the clinician requested timeframe as the escalation basis.</w:t>
            </w:r>
          </w:p>
        </w:tc>
      </w:tr>
      <w:tr>
        <w:trPr>
          <w:cantSplit/>
        </w:trPr>
        <w:tc>
          <w:tcPr>
            <w:tcW w:type="dxa" w:w="3672"/>
            <w:vAlign w:val="center"/>
          </w:tcPr>
          <w:p>
            <w:pPr>
              <w:spacing w:after="0"/>
            </w:pPr>
            <w:r/>
            <w:r>
              <w:rPr>
                <w:rFonts w:ascii="Arial" w:hAnsi="Arial"/>
                <w:b w:val="0"/>
                <w:sz w:val="16"/>
              </w:rPr>
              <w:t>Clinical authority catalogue</w:t>
            </w:r>
          </w:p>
        </w:tc>
        <w:tc>
          <w:tcPr>
            <w:tcW w:type="dxa" w:w="5472"/>
            <w:vAlign w:val="center"/>
          </w:tcPr>
          <w:p>
            <w:pPr>
              <w:spacing w:after="0"/>
            </w:pPr>
            <w:r/>
            <w:r>
              <w:rPr>
                <w:rFonts w:ascii="Arial" w:hAnsi="Arial"/>
                <w:b w:val="0"/>
                <w:sz w:val="16"/>
              </w:rPr>
              <w:t>Requires confirmation from Tutor/Stakeholder. The case refers to an appropriate/authorised clinical professional but does not list roles, limits or delegations.</w:t>
            </w:r>
          </w:p>
        </w:tc>
        <w:tc>
          <w:tcPr>
            <w:tcW w:type="dxa" w:w="6120"/>
            <w:vAlign w:val="center"/>
          </w:tcPr>
          <w:p>
            <w:pPr>
              <w:spacing w:after="0"/>
            </w:pPr>
            <w:r/>
            <w:r>
              <w:rPr>
                <w:rFonts w:ascii="Arial" w:hAnsi="Arial"/>
                <w:b w:val="0"/>
                <w:sz w:val="16"/>
              </w:rPr>
              <w:t>Assumption: a maintained role-and-privilege catalogue determines who may authorise each referral, treatment request, modification and follow-up request.</w:t>
            </w:r>
          </w:p>
        </w:tc>
      </w:tr>
      <w:tr>
        <w:trPr>
          <w:cantSplit/>
        </w:trPr>
        <w:tc>
          <w:tcPr>
            <w:tcW w:type="dxa" w:w="3672"/>
            <w:vAlign w:val="center"/>
          </w:tcPr>
          <w:p>
            <w:pPr>
              <w:spacing w:after="0"/>
            </w:pPr>
            <w:r/>
            <w:r>
              <w:rPr>
                <w:rFonts w:ascii="Arial" w:hAnsi="Arial"/>
                <w:b w:val="0"/>
                <w:sz w:val="16"/>
              </w:rPr>
              <w:t>Funding, exemption and payment-arrangement criteria</w:t>
            </w:r>
          </w:p>
        </w:tc>
        <w:tc>
          <w:tcPr>
            <w:tcW w:type="dxa" w:w="5472"/>
            <w:vAlign w:val="center"/>
          </w:tcPr>
          <w:p>
            <w:pPr>
              <w:spacing w:after="0"/>
            </w:pPr>
            <w:r/>
            <w:r>
              <w:rPr>
                <w:rFonts w:ascii="Arial" w:hAnsi="Arial"/>
                <w:b w:val="0"/>
                <w:sz w:val="16"/>
              </w:rPr>
              <w:t>Requires confirmation from Tutor/Stakeholder. The case names possible routes but does not define eligibility, approval levels or evidence requirements.</w:t>
            </w:r>
          </w:p>
        </w:tc>
        <w:tc>
          <w:tcPr>
            <w:tcW w:type="dxa" w:w="6120"/>
            <w:vAlign w:val="center"/>
          </w:tcPr>
          <w:p>
            <w:pPr>
              <w:spacing w:after="0"/>
            </w:pPr>
            <w:r/>
            <w:r>
              <w:rPr>
                <w:rFonts w:ascii="Arial" w:hAnsi="Arial"/>
                <w:b w:val="0"/>
                <w:sz w:val="16"/>
              </w:rPr>
              <w:t>Assumption: Finance owns configurable rules and approval thresholds, while clinical staff supply only relevant treatment information.</w:t>
            </w:r>
          </w:p>
        </w:tc>
      </w:tr>
      <w:tr>
        <w:trPr>
          <w:cantSplit/>
        </w:trPr>
        <w:tc>
          <w:tcPr>
            <w:tcW w:type="dxa" w:w="3672"/>
            <w:vAlign w:val="center"/>
          </w:tcPr>
          <w:p>
            <w:pPr>
              <w:spacing w:after="0"/>
            </w:pPr>
            <w:r/>
            <w:r>
              <w:rPr>
                <w:rFonts w:ascii="Arial" w:hAnsi="Arial"/>
                <w:b w:val="0"/>
                <w:sz w:val="16"/>
              </w:rPr>
              <w:t>PSP callback reconciliation and investigation SLA</w:t>
            </w:r>
          </w:p>
        </w:tc>
        <w:tc>
          <w:tcPr>
            <w:tcW w:type="dxa" w:w="5472"/>
            <w:vAlign w:val="center"/>
          </w:tcPr>
          <w:p>
            <w:pPr>
              <w:spacing w:after="0"/>
            </w:pPr>
            <w:r/>
            <w:r>
              <w:rPr>
                <w:rFonts w:ascii="Arial" w:hAnsi="Arial"/>
                <w:b w:val="0"/>
                <w:sz w:val="16"/>
              </w:rPr>
              <w:t>Requires confirmation from Tutor/Stakeholder. The case requires investigation after missing confirmation but does not specify matching fields, queue ownership or target time.</w:t>
            </w:r>
          </w:p>
        </w:tc>
        <w:tc>
          <w:tcPr>
            <w:tcW w:type="dxa" w:w="6120"/>
            <w:vAlign w:val="center"/>
          </w:tcPr>
          <w:p>
            <w:pPr>
              <w:spacing w:after="0"/>
            </w:pPr>
            <w:r/>
            <w:r>
              <w:rPr>
                <w:rFonts w:ascii="Arial" w:hAnsi="Arial"/>
                <w:b w:val="0"/>
                <w:sz w:val="16"/>
              </w:rPr>
              <w:t>Assumption: Finance reconciles using PSP transaction reference, amount, date and patient/account linkage before any further request is made.</w:t>
            </w:r>
          </w:p>
        </w:tc>
      </w:tr>
      <w:tr>
        <w:trPr>
          <w:cantSplit/>
        </w:trPr>
        <w:tc>
          <w:tcPr>
            <w:tcW w:type="dxa" w:w="3672"/>
            <w:vAlign w:val="center"/>
          </w:tcPr>
          <w:p>
            <w:pPr>
              <w:spacing w:after="0"/>
            </w:pPr>
            <w:r/>
            <w:r>
              <w:rPr>
                <w:rFonts w:ascii="Arial" w:hAnsi="Arial"/>
                <w:b w:val="0"/>
                <w:sz w:val="16"/>
              </w:rPr>
              <w:t>Refund calculation and approval thresholds</w:t>
            </w:r>
          </w:p>
        </w:tc>
        <w:tc>
          <w:tcPr>
            <w:tcW w:type="dxa" w:w="5472"/>
            <w:vAlign w:val="center"/>
          </w:tcPr>
          <w:p>
            <w:pPr>
              <w:spacing w:after="0"/>
            </w:pPr>
            <w:r/>
            <w:r>
              <w:rPr>
                <w:rFonts w:ascii="Arial" w:hAnsi="Arial"/>
                <w:b w:val="0"/>
                <w:sz w:val="16"/>
              </w:rPr>
              <w:t>Requires confirmation from Tutor/Stakeholder. The case permits full or partial refunds but gives no calculation rule or authority limits.</w:t>
            </w:r>
          </w:p>
        </w:tc>
        <w:tc>
          <w:tcPr>
            <w:tcW w:type="dxa" w:w="6120"/>
            <w:vAlign w:val="center"/>
          </w:tcPr>
          <w:p>
            <w:pPr>
              <w:spacing w:after="0"/>
            </w:pPr>
            <w:r/>
            <w:r>
              <w:rPr>
                <w:rFonts w:ascii="Arial" w:hAnsi="Arial"/>
                <w:b w:val="0"/>
                <w:sz w:val="16"/>
              </w:rPr>
              <w:t>Assumption: Finance maintains a documented refund policy, approval matrix and audit evidence for every decision.</w:t>
            </w:r>
          </w:p>
        </w:tc>
      </w:tr>
      <w:tr>
        <w:trPr>
          <w:cantSplit/>
        </w:trPr>
        <w:tc>
          <w:tcPr>
            <w:tcW w:type="dxa" w:w="3672"/>
            <w:vAlign w:val="center"/>
          </w:tcPr>
          <w:p>
            <w:pPr>
              <w:spacing w:after="0"/>
            </w:pPr>
            <w:r/>
            <w:r>
              <w:rPr>
                <w:rFonts w:ascii="Arial" w:hAnsi="Arial"/>
                <w:b w:val="0"/>
                <w:sz w:val="16"/>
              </w:rPr>
              <w:t>Urgent treatment without confirmed payment</w:t>
            </w:r>
          </w:p>
        </w:tc>
        <w:tc>
          <w:tcPr>
            <w:tcW w:type="dxa" w:w="5472"/>
            <w:vAlign w:val="center"/>
          </w:tcPr>
          <w:p>
            <w:pPr>
              <w:spacing w:after="0"/>
            </w:pPr>
            <w:r/>
            <w:r>
              <w:rPr>
                <w:rFonts w:ascii="Arial" w:hAnsi="Arial"/>
                <w:b w:val="0"/>
                <w:sz w:val="16"/>
              </w:rPr>
              <w:t>Requires confirmation from Tutor/Stakeholder. The case requires authorised clinical justification but does not identify the exact authorising grade or Finance response time.</w:t>
            </w:r>
          </w:p>
        </w:tc>
        <w:tc>
          <w:tcPr>
            <w:tcW w:type="dxa" w:w="6120"/>
            <w:vAlign w:val="center"/>
          </w:tcPr>
          <w:p>
            <w:pPr>
              <w:spacing w:after="0"/>
            </w:pPr>
            <w:r/>
            <w:r>
              <w:rPr>
                <w:rFonts w:ascii="Arial" w:hAnsi="Arial"/>
                <w:b w:val="0"/>
                <w:sz w:val="16"/>
              </w:rPr>
              <w:t>Assumption: an authorised clinical professional records the immediate risk and rationale; Finance receives an automatic follow-up case for resolution.</w:t>
            </w:r>
          </w:p>
        </w:tc>
      </w:tr>
      <w:tr>
        <w:trPr>
          <w:cantSplit/>
        </w:trPr>
        <w:tc>
          <w:tcPr>
            <w:tcW w:type="dxa" w:w="3672"/>
            <w:vAlign w:val="center"/>
          </w:tcPr>
          <w:p>
            <w:pPr>
              <w:spacing w:after="0"/>
            </w:pPr>
            <w:r/>
            <w:r>
              <w:rPr>
                <w:rFonts w:ascii="Arial" w:hAnsi="Arial"/>
                <w:b w:val="0"/>
                <w:sz w:val="16"/>
              </w:rPr>
              <w:t>Clinical enquiry urgency classification</w:t>
            </w:r>
          </w:p>
        </w:tc>
        <w:tc>
          <w:tcPr>
            <w:tcW w:type="dxa" w:w="5472"/>
            <w:vAlign w:val="center"/>
          </w:tcPr>
          <w:p>
            <w:pPr>
              <w:spacing w:after="0"/>
            </w:pPr>
            <w:r/>
            <w:r>
              <w:rPr>
                <w:rFonts w:ascii="Arial" w:hAnsi="Arial"/>
                <w:b w:val="0"/>
                <w:sz w:val="16"/>
              </w:rPr>
              <w:t>Requires confirmation from Tutor/Stakeholder. The case explicitly says that a complete set of urgency rules has not yet been agreed.</w:t>
            </w:r>
          </w:p>
        </w:tc>
        <w:tc>
          <w:tcPr>
            <w:tcW w:type="dxa" w:w="6120"/>
            <w:vAlign w:val="center"/>
          </w:tcPr>
          <w:p>
            <w:pPr>
              <w:spacing w:after="0"/>
            </w:pPr>
            <w:r/>
            <w:r>
              <w:rPr>
                <w:rFonts w:ascii="Arial" w:hAnsi="Arial"/>
                <w:b w:val="0"/>
                <w:sz w:val="16"/>
              </w:rPr>
              <w:t>Assumption: until agreed, call handlers flag potential urgency and route immediately to the CNS Team or another authorised clinical professional without giving clinical advice.</w:t>
            </w:r>
          </w:p>
        </w:tc>
      </w:tr>
      <w:tr>
        <w:trPr>
          <w:cantSplit/>
        </w:trPr>
        <w:tc>
          <w:tcPr>
            <w:tcW w:type="dxa" w:w="3672"/>
            <w:vAlign w:val="center"/>
          </w:tcPr>
          <w:p>
            <w:pPr>
              <w:spacing w:after="0"/>
            </w:pPr>
            <w:r/>
            <w:r>
              <w:rPr>
                <w:rFonts w:ascii="Arial" w:hAnsi="Arial"/>
                <w:b w:val="0"/>
                <w:sz w:val="16"/>
              </w:rPr>
              <w:t>Clinic Letter seven-day target interpretation</w:t>
            </w:r>
          </w:p>
        </w:tc>
        <w:tc>
          <w:tcPr>
            <w:tcW w:type="dxa" w:w="5472"/>
            <w:vAlign w:val="center"/>
          </w:tcPr>
          <w:p>
            <w:pPr>
              <w:spacing w:after="0"/>
            </w:pPr>
            <w:r/>
            <w:r>
              <w:rPr>
                <w:rFonts w:ascii="Arial" w:hAnsi="Arial"/>
                <w:b w:val="0"/>
                <w:sz w:val="16"/>
              </w:rPr>
              <w:t>Requires confirmation from Tutor/Stakeholder. The case says letters should be completed, approved, processed and sent within seven days, but does not clarify whether all four must occur by day seven in every case.</w:t>
            </w:r>
          </w:p>
        </w:tc>
        <w:tc>
          <w:tcPr>
            <w:tcW w:type="dxa" w:w="6120"/>
            <w:vAlign w:val="center"/>
          </w:tcPr>
          <w:p>
            <w:pPr>
              <w:spacing w:after="0"/>
            </w:pPr>
            <w:r/>
            <w:r>
              <w:rPr>
                <w:rFonts w:ascii="Arial" w:hAnsi="Arial"/>
                <w:b w:val="0"/>
                <w:sz w:val="16"/>
              </w:rPr>
              <w:t>Assumption: the process monitors each milestone and regards a letter as delayed if incomplete or unapproved after seven days, as the case expressly states.</w:t>
            </w:r>
          </w:p>
        </w:tc>
      </w:tr>
      <w:tr>
        <w:trPr>
          <w:cantSplit/>
        </w:trPr>
        <w:tc>
          <w:tcPr>
            <w:tcW w:type="dxa" w:w="3672"/>
            <w:vAlign w:val="center"/>
          </w:tcPr>
          <w:p>
            <w:pPr>
              <w:spacing w:after="0"/>
            </w:pPr>
            <w:r/>
            <w:r>
              <w:rPr>
                <w:rFonts w:ascii="Arial" w:hAnsi="Arial"/>
                <w:b w:val="0"/>
                <w:sz w:val="16"/>
              </w:rPr>
              <w:t>Communication preferences, accessibility and representative authority</w:t>
            </w:r>
          </w:p>
        </w:tc>
        <w:tc>
          <w:tcPr>
            <w:tcW w:type="dxa" w:w="5472"/>
            <w:vAlign w:val="center"/>
          </w:tcPr>
          <w:p>
            <w:pPr>
              <w:spacing w:after="0"/>
            </w:pPr>
            <w:r/>
            <w:r>
              <w:rPr>
                <w:rFonts w:ascii="Arial" w:hAnsi="Arial"/>
                <w:b w:val="0"/>
                <w:sz w:val="16"/>
              </w:rPr>
              <w:t>Requires confirmation from Tutor/Stakeholder. The case recognises preferences and needs but does not define consent capture, hierarchy of channels or representative verification.</w:t>
            </w:r>
          </w:p>
        </w:tc>
        <w:tc>
          <w:tcPr>
            <w:tcW w:type="dxa" w:w="6120"/>
            <w:vAlign w:val="center"/>
          </w:tcPr>
          <w:p>
            <w:pPr>
              <w:spacing w:after="0"/>
            </w:pPr>
            <w:r/>
            <w:r>
              <w:rPr>
                <w:rFonts w:ascii="Arial" w:hAnsi="Arial"/>
                <w:b w:val="0"/>
                <w:sz w:val="16"/>
              </w:rPr>
              <w:t>Assumption: the system stores an auditable communication preference and accessibility requirement; representative access requires recorded authority.</w:t>
            </w:r>
          </w:p>
        </w:tc>
      </w:tr>
      <w:tr>
        <w:trPr>
          <w:cantSplit/>
        </w:trPr>
        <w:tc>
          <w:tcPr>
            <w:tcW w:type="dxa" w:w="3672"/>
            <w:vAlign w:val="center"/>
          </w:tcPr>
          <w:p>
            <w:pPr>
              <w:spacing w:after="0"/>
            </w:pPr>
            <w:r/>
            <w:r>
              <w:rPr>
                <w:rFonts w:ascii="Arial" w:hAnsi="Arial"/>
                <w:b w:val="0"/>
                <w:sz w:val="16"/>
              </w:rPr>
              <w:t>Downtime procedure and back-entry approval</w:t>
            </w:r>
          </w:p>
        </w:tc>
        <w:tc>
          <w:tcPr>
            <w:tcW w:type="dxa" w:w="5472"/>
            <w:vAlign w:val="center"/>
          </w:tcPr>
          <w:p>
            <w:pPr>
              <w:spacing w:after="0"/>
            </w:pPr>
            <w:r/>
            <w:r>
              <w:rPr>
                <w:rFonts w:ascii="Arial" w:hAnsi="Arial"/>
                <w:b w:val="0"/>
                <w:sz w:val="16"/>
              </w:rPr>
              <w:t>Requires confirmation from Tutor/Stakeholder. The case requires an appropriate procedure but does not define forms, time limit or verifier.</w:t>
            </w:r>
          </w:p>
        </w:tc>
        <w:tc>
          <w:tcPr>
            <w:tcW w:type="dxa" w:w="6120"/>
            <w:vAlign w:val="center"/>
          </w:tcPr>
          <w:p>
            <w:pPr>
              <w:spacing w:after="0"/>
            </w:pPr>
            <w:r/>
            <w:r>
              <w:rPr>
                <w:rFonts w:ascii="Arial" w:hAnsi="Arial"/>
                <w:b w:val="0"/>
                <w:sz w:val="16"/>
              </w:rPr>
              <w:t>Assumption: downtime work is entered promptly by authorised users, marked as back-entry with original event time, and subject to audit/reconciliation.</w:t>
            </w:r>
          </w:p>
        </w:tc>
      </w:tr>
      <w:tr>
        <w:trPr>
          <w:cantSplit/>
        </w:trPr>
        <w:tc>
          <w:tcPr>
            <w:tcW w:type="dxa" w:w="3672"/>
            <w:vAlign w:val="center"/>
          </w:tcPr>
          <w:p>
            <w:pPr>
              <w:spacing w:after="0"/>
            </w:pPr>
            <w:r/>
            <w:r>
              <w:rPr>
                <w:rFonts w:ascii="Arial" w:hAnsi="Arial"/>
                <w:b w:val="0"/>
                <w:sz w:val="16"/>
              </w:rPr>
              <w:t>Patient identification matching rules</w:t>
            </w:r>
          </w:p>
        </w:tc>
        <w:tc>
          <w:tcPr>
            <w:tcW w:type="dxa" w:w="5472"/>
            <w:vAlign w:val="center"/>
          </w:tcPr>
          <w:p>
            <w:pPr>
              <w:spacing w:after="0"/>
            </w:pPr>
            <w:r/>
            <w:r>
              <w:rPr>
                <w:rFonts w:ascii="Arial" w:hAnsi="Arial"/>
                <w:b w:val="0"/>
                <w:sz w:val="16"/>
              </w:rPr>
              <w:t>Requires confirmation from Tutor/Stakeholder. The case requires reduced wrong-patient risk but does not specify matching attributes, duplicate-record process or data steward.</w:t>
            </w:r>
          </w:p>
        </w:tc>
        <w:tc>
          <w:tcPr>
            <w:tcW w:type="dxa" w:w="6120"/>
            <w:vAlign w:val="center"/>
          </w:tcPr>
          <w:p>
            <w:pPr>
              <w:spacing w:after="0"/>
            </w:pPr>
            <w:r/>
            <w:r>
              <w:rPr>
                <w:rFonts w:ascii="Arial" w:hAnsi="Arial"/>
                <w:b w:val="0"/>
                <w:sz w:val="16"/>
              </w:rPr>
              <w:t>Assumption: the system uses approved identity checks and a controlled duplicate-resolution process with a full audit trail.</w:t>
            </w:r>
          </w:p>
        </w:tc>
      </w:tr>
      <w:tr>
        <w:trPr>
          <w:cantSplit/>
        </w:trPr>
        <w:tc>
          <w:tcPr>
            <w:tcW w:type="dxa" w:w="3672"/>
            <w:vAlign w:val="center"/>
          </w:tcPr>
          <w:p>
            <w:pPr>
              <w:spacing w:after="0"/>
            </w:pPr>
            <w:r/>
            <w:r>
              <w:rPr>
                <w:rFonts w:ascii="Arial" w:hAnsi="Arial"/>
                <w:b w:val="0"/>
                <w:sz w:val="16"/>
              </w:rPr>
              <w:t>Management-report definitions and targets</w:t>
            </w:r>
          </w:p>
        </w:tc>
        <w:tc>
          <w:tcPr>
            <w:tcW w:type="dxa" w:w="5472"/>
            <w:vAlign w:val="center"/>
          </w:tcPr>
          <w:p>
            <w:pPr>
              <w:spacing w:after="0"/>
            </w:pPr>
            <w:r/>
            <w:r>
              <w:rPr>
                <w:rFonts w:ascii="Arial" w:hAnsi="Arial"/>
                <w:b w:val="0"/>
                <w:sz w:val="16"/>
              </w:rPr>
              <w:t>Requires confirmation from Tutor/Stakeholder. Report topics are listed, but formulae, periods, ownership and targets are not.</w:t>
            </w:r>
          </w:p>
        </w:tc>
        <w:tc>
          <w:tcPr>
            <w:tcW w:type="dxa" w:w="6120"/>
            <w:vAlign w:val="center"/>
          </w:tcPr>
          <w:p>
            <w:pPr>
              <w:spacing w:after="0"/>
            </w:pPr>
            <w:r/>
            <w:r>
              <w:rPr>
                <w:rFonts w:ascii="Arial" w:hAnsi="Arial"/>
                <w:b w:val="0"/>
                <w:sz w:val="16"/>
              </w:rPr>
              <w:t>Assumption: management agrees definitions, reporting cadence and thresholds before using reports for performance decisions.</w:t>
            </w:r>
          </w:p>
        </w:tc>
      </w:tr>
    </w:tbl>
    <w:p/>
    <w:p>
      <w:pPr>
        <w:pStyle w:val="Heading1"/>
      </w:pPr>
      <w:r>
        <w:t>Conclusion</w:t>
      </w:r>
    </w:p>
    <w:p>
      <w:r>
        <w:t>The case describes an integrated patient pathway with several linked processes, but it does not permit a single team to control every decision. Medical Secretaries and booking teams perform important administrative coordination; Consultants and other authorised clinical professionals make clinical decisions; and the Finance Team controls funding, payment and refund decisions. A BPM-based system should preserve these boundaries through role-based access control, formal authorisations, traceable records, exception queues, external-service integration and management monitoring.</w:t>
      </w:r>
    </w:p>
    <w:sectPr w:rsidR="00FC693F" w:rsidRPr="0006063C" w:rsidSect="00034616">
      <w:footerReference w:type="default" r:id="rId9"/>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Hospital Patient Referral Treatment and Administration System | Business Process Modelling Coursework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Hospital Patient Referral Treatment and Administration System Business Process Modelling Coursework</dc:title>
  <dc:subject>Business Process Modelling coursework response</dc:subject>
  <dc:creator>Student</dc:creator>
  <cp:keywords/>
  <dc:description>generated by python-docx</dc:description>
  <cp:lastModifiedBy/>
  <cp:revision>1</cp:revision>
  <dcterms:created xsi:type="dcterms:W3CDTF">2013-12-23T23:15:00Z</dcterms:created>
  <dcterms:modified xsi:type="dcterms:W3CDTF">2013-12-23T23:15:00Z</dcterms:modified>
  <cp:category/>
</cp:coreProperties>
</file>