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84551">
      <w:pPr>
        <w:spacing w:after="80"/>
        <w:jc w:val="center"/>
      </w:pPr>
      <w:r>
        <w:rPr>
          <w:rFonts w:ascii="Arial" w:hAnsi="Arial" w:eastAsia="Arial"/>
          <w:b/>
          <w:color w:val="000000"/>
          <w:sz w:val="44"/>
        </w:rPr>
        <w:t>Part 6 Sprint Backlogs</w:t>
      </w:r>
    </w:p>
    <w:p w14:paraId="1E454073">
      <w:pPr>
        <w:spacing w:after="200"/>
        <w:jc w:val="center"/>
      </w:pPr>
      <w:r>
        <w:rPr>
          <w:rFonts w:ascii="Arial" w:hAnsi="Arial" w:eastAsia="Arial"/>
          <w:b/>
          <w:color w:val="17365D"/>
          <w:sz w:val="24"/>
        </w:rPr>
        <w:t>Hospital Patient Referral Treatment and Administration System</w:t>
      </w:r>
    </w:p>
    <w:p w14:paraId="551C0736">
      <w:pPr>
        <w:spacing w:after="180" w:line="259" w:lineRule="auto"/>
      </w:pPr>
      <w:r>
        <w:rPr>
          <w:rFonts w:ascii="Arial" w:hAnsi="Arial" w:eastAsia="Arial"/>
          <w:b w:val="0"/>
          <w:color w:val="000000"/>
          <w:sz w:val="21"/>
        </w:rPr>
        <w:t>This Sprint plan organises the Product Backlog into three integrated increments. Each Sprint includes a clear goal, selected Backlog Items, named task ownership, dependency and risk controls, a demonstrable review outcome and required testing evidence.</w:t>
      </w:r>
    </w:p>
    <w:p w14:paraId="01CC45F7">
      <w:pPr>
        <w:pStyle w:val="3"/>
        <w:keepNext/>
        <w:spacing w:before="220" w:after="100"/>
      </w:pPr>
      <w:r>
        <w:rPr>
          <w:rFonts w:ascii="Arial" w:hAnsi="Arial" w:eastAsia="Arial"/>
          <w:b/>
          <w:color w:val="17365D"/>
          <w:sz w:val="30"/>
        </w:rPr>
        <w:t>Group Members</w:t>
      </w:r>
    </w:p>
    <w:tbl>
      <w:tblPr>
        <w:tblStyle w:val="32"/>
        <w:tblW w:w="0" w:type="auto"/>
        <w:jc w:val="center"/>
        <w:tblBorders>
          <w:top w:val="single" w:color="9FBAD0" w:sz="4" w:space="0"/>
          <w:left w:val="single" w:color="9FBAD0" w:sz="4" w:space="0"/>
          <w:bottom w:val="single" w:color="9FBAD0" w:sz="4" w:space="0"/>
          <w:right w:val="single" w:color="9FBAD0" w:sz="4" w:space="0"/>
          <w:insideH w:val="single" w:color="9FBAD0" w:sz="4" w:space="0"/>
          <w:insideV w:val="single" w:color="9FBA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EB3DA1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0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DA1430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Name on Blackboard</w:t>
            </w:r>
          </w:p>
        </w:tc>
        <w:tc>
          <w:tcPr>
            <w:tcW w:w="33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9A2CF8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UWE ID</w:t>
            </w:r>
          </w:p>
        </w:tc>
      </w:tr>
      <w:tr w14:paraId="3DAD9931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0C3FF">
            <w:pPr>
              <w:spacing w:after="0" w:line="252" w:lineRule="auto"/>
            </w:pPr>
            <w:r>
              <w:rPr>
                <w:rFonts w:hint="eastAsia" w:eastAsia="宋体"/>
                <w:b/>
                <w:color w:val="000000"/>
                <w:sz w:val="18"/>
                <w:lang w:eastAsia="zh-CN"/>
              </w:rPr>
              <w:t>logren</w:t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 xml:space="preserve"> Li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35F67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23084430</w:t>
            </w:r>
          </w:p>
        </w:tc>
      </w:tr>
      <w:tr w14:paraId="096B5FD3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8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967F5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Jin Wang</w:t>
            </w:r>
          </w:p>
        </w:tc>
        <w:tc>
          <w:tcPr>
            <w:tcW w:w="3384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7621D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2308441</w:t>
            </w:r>
            <w:bookmarkStart w:id="0" w:name="_GoBack"/>
            <w:bookmarkEnd w:id="0"/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</w:tr>
      <w:tr w14:paraId="52CAFB4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C6B823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Leo Zhu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D5CD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23084429</w:t>
            </w:r>
          </w:p>
        </w:tc>
      </w:tr>
      <w:tr w14:paraId="13F91A7E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8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9B365B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Jackson Yang</w:t>
            </w:r>
          </w:p>
        </w:tc>
        <w:tc>
          <w:tcPr>
            <w:tcW w:w="3384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1D6B2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23084428</w:t>
            </w:r>
          </w:p>
        </w:tc>
      </w:tr>
      <w:tr w14:paraId="05015EBF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72629F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Zhenghong Guo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40D4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23084426</w:t>
            </w:r>
          </w:p>
        </w:tc>
      </w:tr>
    </w:tbl>
    <w:p w14:paraId="03BDD7E7">
      <w:pPr>
        <w:pStyle w:val="3"/>
        <w:keepNext/>
        <w:spacing w:before="220" w:after="100"/>
      </w:pPr>
      <w:r>
        <w:rPr>
          <w:rFonts w:ascii="Arial" w:hAnsi="Arial" w:eastAsia="Arial"/>
          <w:b/>
          <w:color w:val="17365D"/>
          <w:sz w:val="30"/>
        </w:rPr>
        <w:t>Sprint Backlogs</w:t>
      </w:r>
    </w:p>
    <w:p w14:paraId="4B63B6DE">
      <w:pPr>
        <w:pStyle w:val="4"/>
        <w:keepNext/>
        <w:spacing w:before="160" w:after="100"/>
      </w:pPr>
      <w:r>
        <w:rPr>
          <w:rFonts w:ascii="Arial" w:hAnsi="Arial" w:eastAsia="Arial"/>
          <w:b/>
          <w:color w:val="17365D"/>
          <w:sz w:val="24"/>
        </w:rPr>
        <w:t>Sprint 1 Requirements Roles Process Modelling and Foundation Prototype</w:t>
      </w:r>
    </w:p>
    <w:tbl>
      <w:tblPr>
        <w:tblStyle w:val="32"/>
        <w:tblW w:w="0" w:type="auto"/>
        <w:jc w:val="center"/>
        <w:tblBorders>
          <w:top w:val="single" w:color="9FBAD0" w:sz="4" w:space="0"/>
          <w:left w:val="single" w:color="9FBAD0" w:sz="4" w:space="0"/>
          <w:bottom w:val="single" w:color="9FBAD0" w:sz="4" w:space="0"/>
          <w:right w:val="single" w:color="9FBAD0" w:sz="4" w:space="0"/>
          <w:insideH w:val="single" w:color="9FBAD0" w:sz="4" w:space="0"/>
          <w:insideV w:val="single" w:color="9FBA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E351886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BC865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741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9432E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Content</w:t>
            </w:r>
          </w:p>
        </w:tc>
      </w:tr>
      <w:tr w14:paraId="0C88B2A3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4AE327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Goal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964D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Establish a reviewable requirements baseline, authority boundaries, main/exception BPMN, ERD, RBAC/audit foundation and a minimum referral-to-clinical-decision flow.</w:t>
            </w:r>
          </w:p>
        </w:tc>
      </w:tr>
      <w:tr w14:paraId="381CEE6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F015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Selected Backlog Items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195AC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PB01, PB02, PB03, PB07, PB08, PB10, PB17, PB18, PB19, PB22 and PB23.</w:t>
            </w:r>
          </w:p>
        </w:tc>
      </w:tr>
      <w:tr w14:paraId="7C598926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15FA1A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Task Allocation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942CF2">
            <w:pPr>
              <w:spacing w:after="0" w:line="252" w:lineRule="auto"/>
            </w:pPr>
            <w:r>
              <w:rPr>
                <w:rFonts w:hint="eastAsia" w:eastAsia="宋体"/>
                <w:b w:val="0"/>
                <w:color w:val="000000"/>
                <w:sz w:val="18"/>
                <w:lang w:eastAsia="zh-CN"/>
              </w:rPr>
              <w:t>logren</w:t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 xml:space="preserve"> Li: T01, T06, T15, T19, T33, T45. Jin Wang: T02, T03, T05, T13, T16, T37. Jackson Yang: T04, T14, T20, T35, T36, T38, T43, T44, T46. Zhenghong Guo: requirements traceability and review preparation.</w:t>
            </w:r>
          </w:p>
        </w:tc>
      </w:tr>
      <w:tr w14:paraId="77C097F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7F59B0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Dependencies and Risks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EE143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Urgency criteria, detailed role permissions, retention, and clinical-results interface are not provided. Mitigation: make them visible as TBC fields and manual queues.</w:t>
            </w:r>
          </w:p>
        </w:tc>
      </w:tr>
      <w:tr w14:paraId="2021E51C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C4025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Review Integrated Increment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3F408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Receive referral, document check, four Consultant decisions, Accepted-only booking request, authorised treatment request, RBAC denial, audit event, enquiry routing and Clinic Letter state.</w:t>
            </w:r>
          </w:p>
        </w:tc>
      </w:tr>
      <w:tr w14:paraId="4D67D47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8CD13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Testing or Evidence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F6EE7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Stakeholder Map, BPMN walkthrough, FR/NFR traceability, permission tests, state-transition tests and audit export.</w:t>
            </w:r>
          </w:p>
        </w:tc>
      </w:tr>
    </w:tbl>
    <w:p w14:paraId="763EFADC">
      <w:pPr>
        <w:spacing w:after="0"/>
      </w:pPr>
    </w:p>
    <w:p w14:paraId="0D3B451F">
      <w:pPr>
        <w:pStyle w:val="4"/>
        <w:keepNext/>
        <w:spacing w:before="160" w:after="100"/>
      </w:pPr>
      <w:r>
        <w:rPr>
          <w:rFonts w:ascii="Arial" w:hAnsi="Arial" w:eastAsia="Arial"/>
          <w:b/>
          <w:color w:val="17365D"/>
          <w:sz w:val="24"/>
        </w:rPr>
        <w:t>Sprint 2 Core Referral Booking Treatment Authorisation and External Services</w:t>
      </w:r>
    </w:p>
    <w:tbl>
      <w:tblPr>
        <w:tblStyle w:val="32"/>
        <w:tblW w:w="0" w:type="auto"/>
        <w:jc w:val="center"/>
        <w:tblBorders>
          <w:top w:val="single" w:color="9FBAD0" w:sz="4" w:space="0"/>
          <w:left w:val="single" w:color="9FBAD0" w:sz="4" w:space="0"/>
          <w:bottom w:val="single" w:color="9FBAD0" w:sz="4" w:space="0"/>
          <w:right w:val="single" w:color="9FBAD0" w:sz="4" w:space="0"/>
          <w:insideH w:val="single" w:color="9FBAD0" w:sz="4" w:space="0"/>
          <w:insideV w:val="single" w:color="9FBA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8AAF628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E950DF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741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8FA31C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Content</w:t>
            </w:r>
          </w:p>
        </w:tc>
      </w:tr>
      <w:tr w14:paraId="68045CC1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07A999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Goal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1311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Deliver executable first appointment, treatment and follow-up booking/notification happy paths and external-service failure controls without duplicate appointments.</w:t>
            </w:r>
          </w:p>
        </w:tc>
      </w:tr>
      <w:tr w14:paraId="09BC7312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48586B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Selected Backlog Items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0CDD5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PB04, PB05, PB06, PB09, PB15, PB16 and PB21.</w:t>
            </w:r>
          </w:p>
        </w:tc>
      </w:tr>
      <w:tr w14:paraId="67BEA74D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810A9E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Task Allocation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EAF81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 xml:space="preserve">Leo Zhu: T07, T08, T09, T17, T18, T41. </w:t>
            </w:r>
            <w:r>
              <w:rPr>
                <w:rFonts w:hint="eastAsia" w:eastAsia="宋体"/>
                <w:b w:val="0"/>
                <w:color w:val="000000"/>
                <w:sz w:val="18"/>
                <w:lang w:eastAsia="zh-CN"/>
              </w:rPr>
              <w:t>logren</w:t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 xml:space="preserve"> Li: T10, T11, T31, T42. Jin Wang: T12, T29, T30. Jackson Yang: T24 appointment-duplicate portion and T32. Zhenghong Guo: integration evidence index.</w:t>
            </w:r>
          </w:p>
        </w:tc>
      </w:tr>
      <w:tr w14:paraId="440E34ED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16E39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Dependencies and Risks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70269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Scheduling, correspondence and treatment interface details are not supplied. Mitigation: versioned mock contracts and fixed mapping of no-slot/timeout/failure to visible queues.</w:t>
            </w:r>
          </w:p>
        </w:tc>
      </w:tr>
      <w:tr w14:paraId="307C710D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6DD16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Review Integrated Increment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0DA08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Accepted referral scheduling, two-week phone rule, failed contact/reschedule, no-slot escalation, authorised treatment booking, service retry without duplicate booking, formal treatment modification, cycle review and follow-up cancellation/no-show routing.</w:t>
            </w:r>
          </w:p>
        </w:tc>
      </w:tr>
      <w:tr w14:paraId="10A95A5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6B339A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Testing or Evidence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1E20C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Interface contracts, mock success/no-slot/timeout logs, date-boundary test, appointment idempotency, clinical-permission negative tests and exception BPMN.</w:t>
            </w:r>
          </w:p>
        </w:tc>
      </w:tr>
    </w:tbl>
    <w:p w14:paraId="55B55133">
      <w:pPr>
        <w:spacing w:after="0"/>
      </w:pPr>
    </w:p>
    <w:p w14:paraId="364D19D9">
      <w:pPr>
        <w:pStyle w:val="4"/>
        <w:keepNext/>
        <w:spacing w:before="160" w:after="100"/>
      </w:pPr>
      <w:r>
        <w:rPr>
          <w:rFonts w:ascii="Arial" w:hAnsi="Arial" w:eastAsia="Arial"/>
          <w:b/>
          <w:color w:val="17365D"/>
          <w:sz w:val="24"/>
        </w:rPr>
        <w:t>Sprint 3 Payments Exceptions Audit Reporting Testing and Final Integration</w:t>
      </w:r>
    </w:p>
    <w:tbl>
      <w:tblPr>
        <w:tblStyle w:val="32"/>
        <w:tblW w:w="0" w:type="auto"/>
        <w:jc w:val="center"/>
        <w:tblBorders>
          <w:top w:val="single" w:color="9FBAD0" w:sz="4" w:space="0"/>
          <w:left w:val="single" w:color="9FBAD0" w:sz="4" w:space="0"/>
          <w:bottom w:val="single" w:color="9FBAD0" w:sz="4" w:space="0"/>
          <w:right w:val="single" w:color="9FBAD0" w:sz="4" w:space="0"/>
          <w:insideH w:val="single" w:color="9FBAD0" w:sz="4" w:space="0"/>
          <w:insideV w:val="single" w:color="9FBA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A1B16CA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9AE66C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741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37410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Content</w:t>
            </w:r>
          </w:p>
        </w:tc>
      </w:tr>
      <w:tr w14:paraId="6E53E719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6E7F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Goal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0C0E6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Complete funding, payment, refund and high-risk exception handling; integrate audit/reporting; finish with repeatable end-to-end evidence.</w:t>
            </w:r>
          </w:p>
        </w:tc>
      </w:tr>
      <w:tr w14:paraId="2BD35628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0D769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Selected Backlog Items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97BDC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PB11, PB12, PB13, PB14, PB20, PB24 and PB25; retest PB22 and PB23.</w:t>
            </w:r>
          </w:p>
        </w:tc>
      </w:tr>
      <w:tr w14:paraId="7D2CFB89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66B183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Task Allocation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4D45D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 xml:space="preserve">Leo Zhu: T21, T22, T25, T28. Jin Wang: T23, T39. </w:t>
            </w:r>
            <w:r>
              <w:rPr>
                <w:rFonts w:hint="eastAsia" w:eastAsia="宋体"/>
                <w:b w:val="0"/>
                <w:color w:val="000000"/>
                <w:sz w:val="18"/>
                <w:lang w:eastAsia="zh-CN"/>
              </w:rPr>
              <w:t>logren</w:t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 xml:space="preserve"> Li: T27. Jackson Yang: T24, T26, T40, T49. Zhenghong Guo: T47, T48, T50.</w:t>
            </w:r>
          </w:p>
        </w:tc>
      </w:tr>
      <w:tr w14:paraId="6A881A7B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C9A724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Dependencies and Risks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6F00A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Charge/refund policy, PSP callback contract and real data are unavailable. Mitigation: fixed de-identified mock data; missing success callback always becomes Investigation, never a second charge.</w:t>
            </w:r>
          </w:p>
        </w:tc>
      </w:tr>
      <w:tr w14:paraId="60396604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78F550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Sprint Review Integrated Increment</w:t>
            </w:r>
          </w:p>
        </w:tc>
        <w:tc>
          <w:tcPr>
            <w:tcW w:w="741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9D520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Funding approval, payment request/status, duplicate-payment prevention, missing-callback investigation, authorised refund, Clinic Letter reminder escalation/suppression, pathway report and auditable E2E chain.</w:t>
            </w:r>
          </w:p>
        </w:tc>
      </w:tr>
      <w:tr w14:paraId="2E3B8DEA">
        <w:tblPrEx>
          <w:tblBorders>
            <w:top w:val="single" w:color="9FBAD0" w:sz="4" w:space="0"/>
            <w:left w:val="single" w:color="9FBAD0" w:sz="4" w:space="0"/>
            <w:bottom w:val="single" w:color="9FBAD0" w:sz="4" w:space="0"/>
            <w:right w:val="single" w:color="9FBAD0" w:sz="4" w:space="0"/>
            <w:insideH w:val="single" w:color="9FBAD0" w:sz="4" w:space="0"/>
            <w:insideV w:val="single" w:color="9FBA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A1F728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Testing or Evidence</w:t>
            </w:r>
          </w:p>
        </w:tc>
        <w:tc>
          <w:tcPr>
            <w:tcW w:w="7416" w:type="dxa"/>
            <w:shd w:val="clear" w:color="auto" w:fill="EEF5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3327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PSP mock transaction/refund result, idempotency replay, access tests, immutable-audit test, report reconciliation, E2E recording, known limitations and feedback list.</w:t>
            </w:r>
          </w:p>
        </w:tc>
      </w:tr>
    </w:tbl>
    <w:p w14:paraId="2707BC92"/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E6C62">
    <w:pPr>
      <w:pStyle w:val="24"/>
      <w:jc w:val="center"/>
    </w:pPr>
    <w:r>
      <w:rPr>
        <w:rFonts w:ascii="Arial" w:hAnsi="Arial" w:eastAsia="Arial"/>
        <w:b w:val="0"/>
        <w:color w:val="5B6573"/>
        <w:sz w:val="17"/>
      </w:rPr>
      <w:t>Hospital Patient Agile Workshop  |  Part 6 Sprint Backlogs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8E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3443</Characters>
  <Lines>0</Lines>
  <Paragraphs>0</Paragraphs>
  <TotalTime>0</TotalTime>
  <ScaleCrop>false</ScaleCrop>
  <LinksUpToDate>false</LinksUpToDate>
  <CharactersWithSpaces>3892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Logan Li; Jin Wang; Leo Zhu; Jackson Yang; Zhenghong Guo</dc:creator>
  <dc:description>generated by python-docx</dc:description>
  <cp:lastModifiedBy>我的名字</cp:lastModifiedBy>
  <dcterms:modified xsi:type="dcterms:W3CDTF">2026-09-21T11:48:33Z</dcterms:modified>
  <dc:subject>Agile Workshop Sprint planning for the Hospital Patient Referral Treatment and Administration System</dc:subject>
  <dc:title>Part 6 Sprint Backlogs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eyJoZGlkIjoiN2M1ZGJiMmU1YTgzYzI1ODQyMmJkMDkxMmNmMjBmODEiLCJ1c2VySWQiOiI4OTg1MjUzNjQifQ==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701129D98B984630A55616E280E134C5_13</vt:lpwstr>
  </property>
</Properties>
</file>