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5 - Lesson 2 - Assemble Shared Resources</w:t>
      </w:r>
    </w:p>
    <w:p>
      <w:r>
        <w:rPr>
          <w:i/>
        </w:rPr>
        <w:t>Lesson 2 of 3</w:t>
      </w:r>
    </w:p>
    <w:p>
      <w:pPr>
        <w:pStyle w:val="Heading2"/>
      </w:pPr>
      <w:r>
        <w:t>Lesson Objectives</w:t>
        <w:br/>
      </w:r>
    </w:p>
    <w:p>
      <w:r>
        <w:rPr>
          <w:b w:val="0"/>
          <w:i w:val="0"/>
        </w:rPr>
        <w:t>In this lesson we aim to:</w:t>
      </w:r>
    </w:p>
    <w:p>
      <w:r>
        <w:rPr>
          <w:b w:val="0"/>
          <w:i w:val="0"/>
        </w:rPr>
        <w:t>Understand ISO 19650-2 Clause 5.2.2 Assemble reference information and shared resources</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(00:09) — no local audio matched this placeholder</w:t>
            </w:r>
          </w:p>
        </w:tc>
      </w:tr>
    </w:tbl>
    <w:p>
      <w:pPr>
        <w:pStyle w:val="Heading2"/>
      </w:pPr>
      <w:r>
        <w:t>Assemble Shared Resources</w:t>
        <w:br/>
      </w:r>
    </w:p>
    <w:p>
      <w:r>
        <w:rPr>
          <w:b w:val="0"/>
          <w:i w:val="0"/>
        </w:rPr>
        <w:t>To facilitate consistent delivery the provision of templates will aid this delivery team. This could be the following:</w:t>
      </w:r>
    </w:p>
    <w:p>
      <w:pPr>
        <w:pStyle w:val="ListBullet"/>
      </w:pPr>
      <w:r>
        <w:rPr>
          <w:b w:val="0"/>
          <w:i w:val="0"/>
        </w:rPr>
        <w:t>BIM Execution Plan Templates</w:t>
      </w:r>
    </w:p>
    <w:p>
      <w:pPr>
        <w:pStyle w:val="ListBullet"/>
      </w:pPr>
      <w:r>
        <w:rPr>
          <w:b w:val="0"/>
          <w:i w:val="0"/>
        </w:rPr>
        <w:t>Responsibility matrix Templates</w:t>
        <w:br/>
      </w:r>
    </w:p>
    <w:p>
      <w:r>
        <w:rPr>
          <w:b/>
          <w:color w:val="2E5B2E"/>
        </w:rPr>
        <w:t>Audio transcript (00:27)</w:t>
      </w:r>
    </w:p>
    <w:p>
      <w:r>
        <w:t>To facilitate consistent delivery, the provision of templates will aid this process. If an appointing party can provide a BIM execution plan template that maps to its exchange information requirements, then a direct correlation between question and answers can be provided. This also facilitates comparison between responses from multiple suppliers and can aid in applying automation. Similarly, the provision of other templates can reduce waste from the process and facilitate better outcomes.</w:t>
      </w:r>
    </w:p>
    <w:p>
      <w:r>
        <w:rPr>
          <w:i/>
          <w:sz w:val="18"/>
        </w:rPr>
        <w:t>Source audio: Lesson 2 - Assemble Shared Resources - BIM ISO 19650 12 Project.mp3</w:t>
      </w:r>
    </w:p>
    <w:p>
      <w:pPr>
        <w:jc w:val="center"/>
      </w:pPr>
      <w:r>
        <w:drawing>
          <wp:inline xmlns:a="http://schemas.openxmlformats.org/drawingml/2006/main" xmlns:pic="http://schemas.openxmlformats.org/drawingml/2006/picture">
            <wp:extent cx="5943600" cy="2627576"/>
            <wp:docPr id="1" name="Picture 1"/>
            <wp:cNvGraphicFramePr>
              <a:graphicFrameLocks noChangeAspect="1"/>
            </wp:cNvGraphicFramePr>
            <a:graphic>
              <a:graphicData uri="http://schemas.openxmlformats.org/drawingml/2006/picture">
                <pic:pic>
                  <pic:nvPicPr>
                    <pic:cNvPr id="0" name="rxXtZ1EUeVyB15jo_qVs_pq0KxQ3PNN5J.png"/>
                    <pic:cNvPicPr/>
                  </pic:nvPicPr>
                  <pic:blipFill>
                    <a:blip r:embed="rId9"/>
                    <a:stretch>
                      <a:fillRect/>
                    </a:stretch>
                  </pic:blipFill>
                  <pic:spPr>
                    <a:xfrm>
                      <a:off x="0" y="0"/>
                      <a:ext cx="5943600" cy="2627576"/>
                    </a:xfrm>
                    <a:prstGeom prst="rect"/>
                  </pic:spPr>
                </pic:pic>
              </a:graphicData>
            </a:graphic>
          </wp:inline>
        </w:drawing>
      </w:r>
    </w:p>
    <w:p>
      <w:pPr>
        <w:jc w:val="center"/>
      </w:pPr>
      <w:r>
        <w:rPr>
          <w:i/>
        </w:rPr>
        <w:t>Existing Building model examples</w:t>
      </w:r>
    </w:p>
    <w:p>
      <w:pPr>
        <w:pStyle w:val="Heading2"/>
      </w:pPr>
      <w:r>
        <w:t>Lesson Summary</w:t>
      </w:r>
    </w:p>
    <w:p>
      <w:r>
        <w:rPr>
          <w:b w:val="0"/>
          <w:i w:val="0"/>
        </w:rPr>
        <w:t>Lesson complete! You are now able to:</w:t>
      </w:r>
    </w:p>
    <w:p>
      <w:r>
        <w:rPr>
          <w:b w:val="0"/>
          <w:i w:val="0"/>
        </w:rPr>
        <w:t>Understand ISO 19650-2 Clause 5.2.2 Assemble reference information and shared resources</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 Lesson 2 - Assemble Shared Resources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