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3 - Lesson 4 - Part 4: Information Exchange</w:t>
      </w:r>
    </w:p>
    <w:p>
      <w:r>
        <w:rPr>
          <w:i/>
        </w:rPr>
        <w:t>Lesson 4 of 5</w:t>
      </w:r>
    </w:p>
    <w:p>
      <w:pPr>
        <w:pStyle w:val="Heading2"/>
      </w:pPr>
      <w:r>
        <w:t>Lesson Objectives</w:t>
        <w:br/>
      </w:r>
    </w:p>
    <w:p>
      <w:r>
        <w:rPr>
          <w:b w:val="0"/>
          <w:i w:val="0"/>
        </w:rPr>
        <w:t>At the end of this lesson, you will be able to:</w:t>
      </w:r>
    </w:p>
    <w:p>
      <w:r>
        <w:rPr>
          <w:b w:val="0"/>
          <w:i w:val="0"/>
        </w:rPr>
        <w:t>Understand the soon to be released ISO 19650 part 4, and the transition from BS 1192-4.</w:t>
      </w:r>
    </w:p>
    <w:p>
      <w:r>
        <w:rPr>
          <w:b w:val="0"/>
          <w:i w:val="0"/>
        </w:rPr>
        <w:t>Describe COBIe</w:t>
      </w:r>
    </w:p>
    <w:p>
      <w:pPr>
        <w:pStyle w:val="Heading2"/>
      </w:pPr>
      <w:r>
        <w:t xml:space="preserve">BS 1192-4 / ISO 19650:4 </w:t>
      </w:r>
    </w:p>
    <w:p>
      <w:r>
        <w:rPr>
          <w:b w:val="0"/>
          <w:i w:val="0"/>
        </w:rPr>
        <w:t>BS 1192-4 is a code of best practise for the implementation of COBie that formed part of the BIM Level 2 suite of documents.</w:t>
      </w:r>
    </w:p>
    <w:p>
      <w:r>
        <w:rPr>
          <w:b w:val="0"/>
          <w:i w:val="0"/>
        </w:rPr>
        <w:t>COBie is an internationally agreed information exchange schema for exchanging information relating to maintainable assets.  COBie is managed by the building SMART alliance.</w:t>
      </w:r>
    </w:p>
    <w:p>
      <w:r>
        <w:rPr>
          <w:b/>
          <w:i w:val="0"/>
        </w:rPr>
        <w:t>ISO 19650 Part 4: Information Exchange</w:t>
      </w:r>
      <w:r>
        <w:rPr>
          <w:b w:val="0"/>
          <w:i w:val="0"/>
        </w:rPr>
        <w:t xml:space="preserve"> is currently under development and out for public comments.</w:t>
      </w:r>
    </w:p>
    <w:p>
      <w:r>
        <w:rPr>
          <w:b w:val="0"/>
          <w:i w:val="0"/>
        </w:rPr>
        <w:t>An information exchange is defined as: “act of satisfying an information requirement or part thereof”</w:t>
      </w:r>
    </w:p>
    <w:p>
      <w:r>
        <w:rPr>
          <w:b w:val="0"/>
          <w:i w:val="0"/>
        </w:rPr>
        <w:t>'data drops’ as they were formally known, or information exchanges now are required at key milestones to enable the exchange, and checking of information for compliance with the project standards.</w:t>
      </w:r>
    </w:p>
    <w:p>
      <w:pPr>
        <w:jc w:val="center"/>
      </w:pPr>
      <w:r>
        <w:t>* * 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28975" cy="4829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82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There should be a valid reason and in what context, to ask for COBie information In relation to an asset. BS 1192-4 requires that the Employer (Now referred to as Appointing Party states: </w:t>
      </w:r>
    </w:p>
    <w:p>
      <w:r>
        <w:rPr>
          <w:b w:val="0"/>
          <w:i w:val="0"/>
        </w:rPr>
        <w:t xml:space="preserve">The aspects of the facility that are intended to be managed </w:t>
      </w:r>
    </w:p>
    <w:p>
      <w:pPr>
        <w:pStyle w:val="Heading2"/>
      </w:pPr>
      <w:r>
        <w:t>Uniclass 2015</w:t>
        <w:br/>
      </w:r>
    </w:p>
    <w:p>
      <w:r>
        <w:rPr>
          <w:b w:val="0"/>
          <w:i w:val="0"/>
        </w:rPr>
        <w:t xml:space="preserve">Uniclass 2015 is a key component in the U.K, as all maintainable assets must be assigned an appropriate classification code. </w:t>
      </w:r>
    </w:p>
    <w:p>
      <w:r>
        <w:rPr>
          <w:b w:val="0"/>
          <w:i w:val="0"/>
        </w:rPr>
        <w:t>The three levels of Uniclass that can be assigned to an object are:</w:t>
      </w:r>
    </w:p>
    <w:p>
      <w:r>
        <w:rPr>
          <w:b w:val="0"/>
          <w:i w:val="0"/>
        </w:rPr>
        <w:t>EF - Elements/function</w:t>
      </w:r>
    </w:p>
    <w:p>
      <w:r>
        <w:rPr>
          <w:b w:val="0"/>
          <w:i w:val="0"/>
        </w:rPr>
        <w:t>EF - Elements/function</w:t>
      </w:r>
    </w:p>
    <w:p>
      <w:r>
        <w:rPr>
          <w:b w:val="0"/>
          <w:i w:val="0"/>
          <w:color w:val="0B57D0"/>
          <w:u w:val="single"/>
        </w:rPr>
        <w:t>https://toolkit.thenbs.com(opens in a new tab)</w:t>
      </w:r>
    </w:p>
    <w:p>
      <w:r>
        <w:rPr>
          <w:b w:val="0"/>
          <w:i w:val="0"/>
        </w:rPr>
        <w:t xml:space="preserve">many CAFM systems are using classification systems to structure documentation., and manage assets. This provides a single, international method of recognising items within buildings. </w:t>
      </w:r>
    </w:p>
    <w:p>
      <w:pPr>
        <w:pStyle w:val="Heading2"/>
      </w:pPr>
      <w:r>
        <w:t>COBIe Spreadsheet</w:t>
        <w:br/>
      </w:r>
    </w:p>
    <w:p>
      <w:r>
        <w:rPr>
          <w:b w:val="0"/>
          <w:i w:val="0"/>
        </w:rPr>
        <w:t>COBie can be delivered as a spreadsheet or an xml file, and is software agnostic.</w:t>
      </w:r>
    </w:p>
    <w:p>
      <w:r>
        <w:rPr>
          <w:b w:val="0"/>
          <w:i w:val="0"/>
        </w:rPr>
        <w:t>See below an example delivery, provided by Prairie Sky Consulting of a typical output.</w:t>
      </w:r>
    </w:p>
    <w:p>
      <w:r>
        <w:rPr>
          <w:b w:val="0"/>
          <w:i w:val="0"/>
        </w:rPr>
        <w:t>The input method, contents, and delivery of COBie shall be covered under a separate course by the BRE.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71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br/>
        <w:t>https://www.prairieskyconsulting.com/resource.htm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5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See here an example delivery, from our Building 16 model.</w:t>
      </w:r>
    </w:p>
    <w:p>
      <w:pPr>
        <w:pStyle w:val="Heading2"/>
      </w:pPr>
      <w:r>
        <w:t xml:space="preserve">Learning Summary </w:t>
      </w:r>
    </w:p>
    <w:p>
      <w:r>
        <w:rPr>
          <w:b w:val="0"/>
          <w:i w:val="0"/>
        </w:rPr>
        <w:t>Lesson complete! You are now able to:</w:t>
      </w:r>
    </w:p>
    <w:p>
      <w:r>
        <w:rPr>
          <w:b w:val="0"/>
          <w:i w:val="0"/>
        </w:rPr>
        <w:t>Understand the soon to be released ISO 19650 part 4, and the transition from BS 1192-4.</w:t>
      </w:r>
    </w:p>
    <w:p>
      <w:r>
        <w:rPr>
          <w:b w:val="0"/>
          <w:i w:val="0"/>
        </w:rPr>
        <w:t>Describe COBIe</w:t>
      </w:r>
    </w:p>
    <w:p>
      <w:r>
        <w:rPr>
          <w:b/>
        </w:rPr>
        <w:t>[CONTINUE]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3 - Lesson 4 - Part 4: Information Exchange</dc:title>
  <dc:subject/>
  <dc:creator>webpage-content-extractor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