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50C6" w14:textId="77777777" w:rsidR="00553A55" w:rsidRDefault="00000000">
      <w:pPr>
        <w:pStyle w:val="Title"/>
      </w:pPr>
      <w:r>
        <w:t>Unit 7 - Lesson 6 - Complete Appointment Documents</w:t>
      </w:r>
    </w:p>
    <w:p w14:paraId="7C468941" w14:textId="77777777" w:rsidR="00553A55" w:rsidRDefault="00000000">
      <w:r>
        <w:rPr>
          <w:i/>
        </w:rPr>
        <w:t>Lesson 6 of 6</w:t>
      </w:r>
    </w:p>
    <w:p w14:paraId="390C6DD6" w14:textId="77777777" w:rsidR="00553A55" w:rsidRDefault="00000000">
      <w:pPr>
        <w:rPr>
          <w:b/>
        </w:rPr>
      </w:pPr>
      <w:r>
        <w:rPr>
          <w:b/>
        </w:rPr>
        <w:t>Lesson Objectives</w:t>
      </w:r>
    </w:p>
    <w:p w14:paraId="5C5BEF2B" w14:textId="6BFCA0E9" w:rsidR="00654A70" w:rsidRPr="00654A70" w:rsidRDefault="00654A70">
      <w:pPr>
        <w:rPr>
          <w:bCs/>
        </w:rPr>
      </w:pPr>
      <w:r w:rsidRPr="00654A70">
        <w:rPr>
          <w:bCs/>
        </w:rPr>
        <w:t>Audio transcript (00:</w:t>
      </w:r>
      <w:r w:rsidRPr="00654A70">
        <w:rPr>
          <w:bCs/>
        </w:rPr>
        <w:t>0</w:t>
      </w:r>
      <w:r w:rsidRPr="00654A70">
        <w:rPr>
          <w:bCs/>
        </w:rPr>
        <w:t>5)</w:t>
      </w:r>
    </w:p>
    <w:p w14:paraId="077931C7" w14:textId="2BCA2643" w:rsidR="00654A70" w:rsidRDefault="00654A70" w:rsidP="00654A70">
      <w:r>
        <w:t>The appointing party is responsible for ensuring the</w:t>
      </w:r>
      <w:r>
        <w:t xml:space="preserve"> </w:t>
      </w:r>
      <w:r>
        <w:t>appointment documentation is complete.</w:t>
      </w:r>
    </w:p>
    <w:p w14:paraId="2AB0C2CD" w14:textId="77777777" w:rsidR="00553A55" w:rsidRDefault="00000000">
      <w:pPr>
        <w:pStyle w:val="Heading2"/>
      </w:pPr>
      <w:r>
        <w:t>Complete Lead Appointed Party’s Appointment Documents</w:t>
      </w:r>
    </w:p>
    <w:p w14:paraId="5A2DF349" w14:textId="77777777" w:rsidR="00553A55" w:rsidRDefault="00000000">
      <w:r>
        <w:t>Now that the information management process has been agreed, the lead appointed party can be formally appointed, using the following documents:</w:t>
      </w:r>
    </w:p>
    <w:p w14:paraId="2FDB15EE" w14:textId="77777777" w:rsidR="00553A55" w:rsidRDefault="00000000">
      <w:pPr>
        <w:pStyle w:val="ListBullet"/>
      </w:pPr>
      <w:r>
        <w:t>Appointing party’s (EIR)</w:t>
      </w:r>
    </w:p>
    <w:p w14:paraId="02E52035" w14:textId="77777777" w:rsidR="00553A55" w:rsidRDefault="00000000">
      <w:pPr>
        <w:pStyle w:val="ListBullet"/>
      </w:pPr>
      <w:r>
        <w:t>Project’s Information Standard</w:t>
      </w:r>
    </w:p>
    <w:p w14:paraId="2B115571" w14:textId="77777777" w:rsidR="00553A55" w:rsidRDefault="00000000">
      <w:pPr>
        <w:pStyle w:val="ListBullet"/>
      </w:pPr>
      <w:r>
        <w:t>Project's Information Protocol (including particulars)</w:t>
      </w:r>
    </w:p>
    <w:p w14:paraId="53078EC4" w14:textId="77777777" w:rsidR="00553A55" w:rsidRDefault="00000000">
      <w:pPr>
        <w:pStyle w:val="ListBullet"/>
      </w:pPr>
      <w:r>
        <w:t>Delivery Team’s BEP</w:t>
      </w:r>
    </w:p>
    <w:p w14:paraId="63FCE751" w14:textId="77777777" w:rsidR="00553A55" w:rsidRDefault="00000000">
      <w:pPr>
        <w:pStyle w:val="ListBullet"/>
      </w:pPr>
      <w:r>
        <w:t>Delivery Team’s MIDP.</w:t>
      </w:r>
    </w:p>
    <w:p w14:paraId="784300C3" w14:textId="77777777" w:rsidR="00553A55" w:rsidRDefault="00000000">
      <w:pPr>
        <w:jc w:val="center"/>
      </w:pPr>
      <w:r>
        <w:rPr>
          <w:noProof/>
        </w:rPr>
        <w:drawing>
          <wp:inline distT="0" distB="0" distL="0" distR="0" wp14:anchorId="28934AEA" wp14:editId="35ADCE6C">
            <wp:extent cx="4933950" cy="381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933950" cy="3819525"/>
                    </a:xfrm>
                    <a:prstGeom prst="rect">
                      <a:avLst/>
                    </a:prstGeom>
                  </pic:spPr>
                </pic:pic>
              </a:graphicData>
            </a:graphic>
          </wp:inline>
        </w:drawing>
      </w:r>
    </w:p>
    <w:p w14:paraId="3D814016" w14:textId="77777777" w:rsidR="00553A55" w:rsidRDefault="00000000">
      <w:r>
        <w:rPr>
          <w:b/>
          <w:color w:val="2E5B2E"/>
        </w:rPr>
        <w:t>Audio transcript (01:25)</w:t>
      </w:r>
    </w:p>
    <w:p w14:paraId="22846097" w14:textId="77777777" w:rsidR="00553A55" w:rsidRDefault="00000000">
      <w:r>
        <w:lastRenderedPageBreak/>
        <w:t>Now, the lead appointed party can be formally appointed as the EIRs allow smart objectives to be used on the appointment, the information standard allows deliverables to be reviewed at exchange points by the appointing party, the information protocol ensures information delivery is incorporated into all contracts and appointments, the BEP ensures the responsibilities of the delivery team are included in their contract and the MIDP confirms all agreed deliverables and timescales. Even with the best planning projects can change, so it has to be remembered that these documents are all still live and can be changed. One, without these documents in place, a smart, specific, measurable, achievable, realistic and time-bound appointment cannot be completed. Two, this ensures that the deliverables can be reviewed in simple terms at exchange points by the appointing party. Three, this ensures that the information delivery is integrated into all contacts and appointments as well as the EIRs. Four, this ensures that the proposals for the delivery team to meet the BEP are included in their contract or appointment. Five, as the MIDP confirming the agreed list of deliverables and when they are planned to be delivered. These are all potentially changing documents that reflects the project's development and changes that may happen. This is separate so it can change. The appointment documents should include information and information particulars relevant to the specific appointment. This process is repeated for each separate appointment in the same manner.</w:t>
      </w:r>
    </w:p>
    <w:p w14:paraId="4B7A371A" w14:textId="77777777" w:rsidR="00553A55" w:rsidRDefault="00000000">
      <w:r>
        <w:rPr>
          <w:i/>
          <w:sz w:val="18"/>
        </w:rPr>
        <w:t>Source audio: Lesson 6 - Complete Appointment Documents - BIM ISO 19650 12 Pro (1).mp3</w:t>
      </w:r>
    </w:p>
    <w:p w14:paraId="2AA0CDC4" w14:textId="77777777" w:rsidR="00553A55" w:rsidRDefault="00000000">
      <w:r>
        <w:t>Any risks that impact information delivery or information delivery milestones should be recorded.</w:t>
      </w:r>
    </w:p>
    <w:p w14:paraId="7602B290" w14:textId="77777777" w:rsidR="00553A55" w:rsidRDefault="00000000">
      <w:pPr>
        <w:jc w:val="center"/>
      </w:pPr>
      <w:r>
        <w:rPr>
          <w:noProof/>
        </w:rPr>
        <w:drawing>
          <wp:inline distT="0" distB="0" distL="0" distR="0" wp14:anchorId="67D4CFC9" wp14:editId="6A3447F4">
            <wp:extent cx="257175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571750" cy="1638300"/>
                    </a:xfrm>
                    <a:prstGeom prst="rect">
                      <a:avLst/>
                    </a:prstGeom>
                  </pic:spPr>
                </pic:pic>
              </a:graphicData>
            </a:graphic>
          </wp:inline>
        </w:drawing>
      </w:r>
    </w:p>
    <w:p w14:paraId="608940C3" w14:textId="77777777" w:rsidR="00553A55" w:rsidRDefault="00000000">
      <w:pPr>
        <w:pStyle w:val="Heading2"/>
      </w:pPr>
      <w:r>
        <w:t>Complete Appointed Party’s Appointment Documents</w:t>
      </w:r>
    </w:p>
    <w:p w14:paraId="0C865BD3" w14:textId="77777777" w:rsidR="00553A55" w:rsidRDefault="00000000">
      <w:r>
        <w:t>Now that the lead appointed party has been formally appointed, the task teams can be formally appointed in a similar manner, using the following documents:</w:t>
      </w:r>
    </w:p>
    <w:p w14:paraId="197D5F1C" w14:textId="77777777" w:rsidR="00553A55" w:rsidRDefault="00000000">
      <w:pPr>
        <w:pStyle w:val="ListBullet"/>
      </w:pPr>
      <w:r>
        <w:t>Lead appointed party’s EIR</w:t>
      </w:r>
    </w:p>
    <w:p w14:paraId="79B66426" w14:textId="77777777" w:rsidR="00553A55" w:rsidRDefault="00000000">
      <w:pPr>
        <w:pStyle w:val="ListBullet"/>
      </w:pPr>
      <w:r>
        <w:t>Project’s Information Standard</w:t>
      </w:r>
    </w:p>
    <w:p w14:paraId="652D01BC" w14:textId="77777777" w:rsidR="00553A55" w:rsidRDefault="00000000">
      <w:pPr>
        <w:pStyle w:val="ListBullet"/>
      </w:pPr>
      <w:r>
        <w:t>Project's Information Protocol (including particulars)</w:t>
      </w:r>
    </w:p>
    <w:p w14:paraId="0AA873EC" w14:textId="77777777" w:rsidR="00553A55" w:rsidRDefault="00000000">
      <w:pPr>
        <w:pStyle w:val="ListBullet"/>
      </w:pPr>
      <w:r>
        <w:t>Delivery Team’s BEP</w:t>
      </w:r>
    </w:p>
    <w:p w14:paraId="7B73EA6A" w14:textId="77777777" w:rsidR="00553A55" w:rsidRDefault="00000000">
      <w:pPr>
        <w:pStyle w:val="ListBullet"/>
      </w:pPr>
      <w:r>
        <w:t>Delivery Team’s TIDP.</w:t>
      </w:r>
    </w:p>
    <w:p w14:paraId="28F4E1DD" w14:textId="77777777" w:rsidR="00553A55" w:rsidRDefault="00000000">
      <w:r>
        <w:rPr>
          <w:b/>
          <w:color w:val="2E5B2E"/>
        </w:rPr>
        <w:t>Audio transcript (00:40)</w:t>
      </w:r>
    </w:p>
    <w:p w14:paraId="5589B0C7" w14:textId="77777777" w:rsidR="00553A55" w:rsidRDefault="00000000">
      <w:r>
        <w:t xml:space="preserve">Now that the lead appointed party has been formally appointed, the task teams can be formally appointed in a similar manner using the following documents. Lead appointed parties EIR, Project Information Standard, Projects Information Protocol including particulars, Delivery Teams BEP, Delivery Teams TIDP. Having established these documents, the task teams can be appointed. Again, making sure documents like the </w:t>
      </w:r>
      <w:r>
        <w:lastRenderedPageBreak/>
        <w:t>Projects Information Protocol including particulars has been incorporated so the requirements have been cascaded down to the task teams. Changes to any of the documents on the previous slides should be managed via change control procedures throughout the duration of the appointments.</w:t>
      </w:r>
    </w:p>
    <w:p w14:paraId="1E4FA5CD" w14:textId="77777777" w:rsidR="00553A55" w:rsidRDefault="00000000">
      <w:r>
        <w:rPr>
          <w:i/>
          <w:sz w:val="18"/>
        </w:rPr>
        <w:t>Source audio: Lesson 6 - Complete Appointment Documents - BIM ISO 19650 12 Pro.mp3</w:t>
      </w:r>
    </w:p>
    <w:p w14:paraId="70986556" w14:textId="77777777" w:rsidR="00553A55" w:rsidRDefault="00000000">
      <w:pPr>
        <w:jc w:val="center"/>
      </w:pPr>
      <w:r>
        <w:rPr>
          <w:noProof/>
        </w:rPr>
        <w:drawing>
          <wp:inline distT="0" distB="0" distL="0" distR="0" wp14:anchorId="72B95818" wp14:editId="4B75859B">
            <wp:extent cx="5943600" cy="3915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915966"/>
                    </a:xfrm>
                    <a:prstGeom prst="rect">
                      <a:avLst/>
                    </a:prstGeom>
                  </pic:spPr>
                </pic:pic>
              </a:graphicData>
            </a:graphic>
          </wp:inline>
        </w:drawing>
      </w:r>
    </w:p>
    <w:p w14:paraId="21749978" w14:textId="77777777" w:rsidR="00553A55" w:rsidRDefault="00000000">
      <w:pPr>
        <w:jc w:val="center"/>
      </w:pPr>
      <w:r>
        <w:rPr>
          <w:i/>
        </w:rPr>
        <w:t>ISO 19650-2 5.4.8 Activities for appointmentActivities for appointment are shown in Figure 7</w:t>
      </w:r>
    </w:p>
    <w:p w14:paraId="11304293" w14:textId="77777777" w:rsidR="00553A55" w:rsidRDefault="00000000">
      <w:pPr>
        <w:pStyle w:val="Heading2"/>
      </w:pPr>
      <w:r>
        <w:t>Learning Summary </w:t>
      </w:r>
    </w:p>
    <w:p w14:paraId="0376BACD" w14:textId="77777777" w:rsidR="00553A55" w:rsidRDefault="00000000">
      <w:r>
        <w:t>Lesson complete! You are now able to:</w:t>
      </w:r>
    </w:p>
    <w:p w14:paraId="7CE90331" w14:textId="77777777" w:rsidR="00553A55" w:rsidRDefault="00000000">
      <w:r>
        <w:t>Explain the Completion of Appointment Documents</w:t>
      </w:r>
    </w:p>
    <w:p w14:paraId="122C5BE6" w14:textId="77777777" w:rsidR="00553A55" w:rsidRDefault="00000000">
      <w:pPr>
        <w:jc w:val="center"/>
      </w:pPr>
      <w:r>
        <w:rPr>
          <w:noProof/>
        </w:rPr>
        <w:lastRenderedPageBreak/>
        <w:drawing>
          <wp:inline distT="0" distB="0" distL="0" distR="0" wp14:anchorId="769372EE" wp14:editId="11AD1CAF">
            <wp:extent cx="5943600" cy="3332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y1RWeOn0MFVgFs_V5zgIvziGVLWPWKZ.png"/>
                    <pic:cNvPicPr/>
                  </pic:nvPicPr>
                  <pic:blipFill>
                    <a:blip r:embed="rId9"/>
                    <a:stretch>
                      <a:fillRect/>
                    </a:stretch>
                  </pic:blipFill>
                  <pic:spPr>
                    <a:xfrm>
                      <a:off x="0" y="0"/>
                      <a:ext cx="5943600" cy="3332661"/>
                    </a:xfrm>
                    <a:prstGeom prst="rect">
                      <a:avLst/>
                    </a:prstGeom>
                  </pic:spPr>
                </pic:pic>
              </a:graphicData>
            </a:graphic>
          </wp:inline>
        </w:drawing>
      </w:r>
    </w:p>
    <w:p w14:paraId="4ACE4C03" w14:textId="77777777" w:rsidR="00553A55" w:rsidRDefault="00000000">
      <w:r>
        <w:rPr>
          <w:b/>
        </w:rPr>
        <w:t>Unit 7 Complete!</w:t>
      </w:r>
      <w:r>
        <w:rPr>
          <w:b/>
        </w:rPr>
        <w:br/>
      </w:r>
    </w:p>
    <w:p w14:paraId="6746F78A" w14:textId="77777777" w:rsidR="00553A55" w:rsidRDefault="00000000">
      <w:r>
        <w:t>You may now close the window and complete this module.</w:t>
      </w:r>
      <w:r>
        <w:br/>
      </w:r>
    </w:p>
    <w:sectPr w:rsidR="00553A55"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952185">
    <w:abstractNumId w:val="8"/>
  </w:num>
  <w:num w:numId="2" w16cid:durableId="1434977832">
    <w:abstractNumId w:val="6"/>
  </w:num>
  <w:num w:numId="3" w16cid:durableId="1661613781">
    <w:abstractNumId w:val="5"/>
  </w:num>
  <w:num w:numId="4" w16cid:durableId="1410081539">
    <w:abstractNumId w:val="4"/>
  </w:num>
  <w:num w:numId="5" w16cid:durableId="785394117">
    <w:abstractNumId w:val="7"/>
  </w:num>
  <w:num w:numId="6" w16cid:durableId="889224812">
    <w:abstractNumId w:val="3"/>
  </w:num>
  <w:num w:numId="7" w16cid:durableId="59838096">
    <w:abstractNumId w:val="2"/>
  </w:num>
  <w:num w:numId="8" w16cid:durableId="1345934149">
    <w:abstractNumId w:val="1"/>
  </w:num>
  <w:num w:numId="9" w16cid:durableId="787554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A55"/>
    <w:rsid w:val="00654A70"/>
    <w:rsid w:val="008A57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53860"/>
  <w14:defaultImageDpi w14:val="300"/>
  <w15:docId w15:val="{64E282DC-19DD-4747-A948-E05C030F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6 - Complete Appointment Documents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2026-09-05T04:33:00Z</dcterms:modified>
  <cp:category/>
</cp:coreProperties>
</file>