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 w:line="240" w:lineRule="auto"/>
        <w:jc w:val="center"/>
      </w:pPr>
      <w:r>
        <w:rPr>
          <w:rFonts w:eastAsia="黑体" w:ascii="Times New Roman" w:hAnsi="Times New Roman"/>
          <w:b/>
          <w:sz w:val="30"/>
        </w:rPr>
        <w:t>难治性炎症性肠病治疗现状与困境</w:t>
      </w:r>
    </w:p>
    <w:p>
      <w:pPr>
        <w:spacing w:after="120"/>
        <w:jc w:val="center"/>
      </w:pPr>
      <w:r>
        <w:rPr>
          <w:rFonts w:eastAsia="宋体" w:ascii="Times New Roman" w:hAnsi="Times New Roman"/>
          <w:b w:val="0"/>
          <w:color w:val="666666"/>
          <w:sz w:val="20"/>
        </w:rPr>
        <w:t>A Mini-Review on Refractory IBD: Treatment Status and Clinical Dilemmas</w:t>
      </w:r>
    </w:p>
    <w:p>
      <w:pPr>
        <w:spacing w:before="60" w:after="40" w:line="240" w:lineRule="auto"/>
      </w:pPr>
      <w:r>
        <w:rPr>
          <w:rFonts w:eastAsia="黑体" w:ascii="Times New Roman" w:hAnsi="Times New Roman"/>
          <w:b/>
          <w:sz w:val="22"/>
        </w:rPr>
        <w:t>一、IBD药物治疗现状</w:t>
      </w:r>
    </w:p>
    <w:p>
      <w:pPr>
        <w:spacing w:before="0" w:after="40" w:line="264" w:lineRule="auto"/>
        <w:ind w:firstLine="400"/>
      </w:pPr>
      <w:r>
        <w:rPr>
          <w:rFonts w:eastAsia="宋体" w:ascii="Times New Roman" w:hAnsi="Times New Roman"/>
          <w:b w:val="0"/>
          <w:sz w:val="20"/>
        </w:rPr>
        <w:t>炎症性肠病（IBD）的药物治疗在过去二十年取得显著进展。从传统的5-氨基水杨酸、糖皮质激素和免疫调节剂，到抗TNF-α单抗（infliximab、adalimumab）、抗整合素（维多珠单抗，VEDO）、抗IL-12/23（乌司奴单抗，UST）等生物制剂，再到JAK抑制剂（tofacitinib）等小分子药物，治疗选择日益丰富。然而，</w:t>
      </w:r>
      <w:r>
        <w:rPr>
          <w:rFonts w:eastAsia="宋体" w:ascii="Times New Roman" w:hAnsi="Times New Roman"/>
          <w:b/>
          <w:sz w:val="20"/>
        </w:rPr>
        <w:t>原发无应答率高达20%–40%</w:t>
      </w:r>
      <w:r>
        <w:rPr>
          <w:rFonts w:eastAsia="宋体" w:ascii="Times New Roman" w:hAnsi="Times New Roman"/>
          <w:b w:val="0"/>
          <w:sz w:val="20"/>
        </w:rPr>
        <w:t>，且继发失效（抗药物抗体产生、通路漂移）并不少见，约30%–50%的患者在5年内经历至少一种生物制剂失效。</w:t>
      </w:r>
    </w:p>
    <w:p>
      <w:pPr>
        <w:spacing w:before="0" w:after="40" w:line="264" w:lineRule="auto"/>
        <w:ind w:firstLine="400"/>
      </w:pPr>
      <w:r>
        <w:rPr>
          <w:rFonts w:eastAsia="宋体" w:ascii="Times New Roman" w:hAnsi="Times New Roman"/>
          <w:b w:val="0"/>
          <w:sz w:val="20"/>
        </w:rPr>
        <w:t>2021年IOIBD发布的STRIDE-II达标治疗（Treat-to-Target, T2T）框架确立了临床缓解、内镜愈合和生物标志物正常化的分层目标，但该框架仅关注"达到目标后的维持"，</w:t>
      </w:r>
      <w:r>
        <w:rPr>
          <w:rFonts w:eastAsia="宋体" w:ascii="Times New Roman" w:hAnsi="Times New Roman"/>
          <w:b/>
          <w:sz w:val="20"/>
        </w:rPr>
        <w:t>对反复达不到目标的多重失效患者缺乏预设路径</w:t>
      </w:r>
      <w:r>
        <w:rPr>
          <w:rFonts w:eastAsia="宋体" w:ascii="Times New Roman" w:hAnsi="Times New Roman"/>
          <w:b w:val="0"/>
          <w:sz w:val="20"/>
        </w:rPr>
        <w:t>。2023年，IOIBD进一步提出"难治性IBD（DTT-IBD）"的国际共识定义：</w:t>
      </w:r>
      <w:r>
        <w:rPr>
          <w:rFonts w:eastAsia="宋体" w:ascii="Times New Roman" w:hAnsi="Times New Roman"/>
          <w:b/>
          <w:sz w:val="20"/>
        </w:rPr>
        <w:t>≥2种不同作用机制的高级治疗方案失败</w:t>
      </w:r>
      <w:r>
        <w:rPr>
          <w:rFonts w:eastAsia="宋体" w:ascii="Times New Roman" w:hAnsi="Times New Roman"/>
          <w:b w:val="0"/>
          <w:sz w:val="20"/>
        </w:rPr>
        <w:t>，同时纳入心理社会负担维度。然而ECCO 2026系统综述（P0393）显示，该定义尚未被临床试验采纳，各研究对"难治性"的定义仍不统一，更缺乏基于此定义的多组学分子特征化研究。</w:t>
      </w:r>
    </w:p>
    <w:p>
      <w:pPr>
        <w:spacing w:before="60" w:after="40" w:line="240" w:lineRule="auto"/>
      </w:pPr>
      <w:r>
        <w:rPr>
          <w:rFonts w:eastAsia="黑体" w:ascii="Times New Roman" w:hAnsi="Times New Roman"/>
          <w:b/>
          <w:sz w:val="22"/>
        </w:rPr>
        <w:t>二、难治性IBD的核心困境</w:t>
      </w:r>
    </w:p>
    <w:p>
      <w:pPr>
        <w:spacing w:before="0" w:after="40" w:line="264" w:lineRule="auto"/>
        <w:ind w:firstLine="400"/>
      </w:pPr>
      <w:r>
        <w:rPr>
          <w:rFonts w:eastAsia="宋体" w:ascii="Times New Roman" w:hAnsi="Times New Roman"/>
          <w:b/>
          <w:sz w:val="20"/>
        </w:rPr>
        <w:t>困境一：试错治疗范式无分子指导。</w:t>
      </w:r>
      <w:r>
        <w:rPr>
          <w:rFonts w:eastAsia="宋体" w:ascii="Times New Roman" w:hAnsi="Times New Roman"/>
          <w:b w:val="0"/>
          <w:sz w:val="20"/>
        </w:rPr>
        <w:t xml:space="preserve"> AGA 2023生物标志物指南明确指出，"目前无任何经验证的预测性生物标志物可用于指导初始药物选择"。药物选择基于疗效、安全性、患者偏好和成本的综合考量，完全依赖临床判断和试错。每种药物失效意味着3–6个月的无效治疗窗口，多重失效者累计疾病进展风险显著增加。</w:t>
      </w:r>
    </w:p>
    <w:p>
      <w:pPr>
        <w:spacing w:before="0" w:after="40" w:line="264" w:lineRule="auto"/>
        <w:ind w:firstLine="400"/>
      </w:pPr>
      <w:r>
        <w:rPr>
          <w:rFonts w:eastAsia="宋体" w:ascii="Times New Roman" w:hAnsi="Times New Roman"/>
          <w:b/>
          <w:sz w:val="20"/>
        </w:rPr>
        <w:t>困境二：多重失效机制完全未知。</w:t>
      </w:r>
      <w:r>
        <w:rPr>
          <w:rFonts w:eastAsia="宋体" w:ascii="Times New Roman" w:hAnsi="Times New Roman"/>
          <w:b w:val="0"/>
          <w:sz w:val="20"/>
        </w:rPr>
        <w:t xml:space="preserve"> 现有研究均为单药应答预测——DOP071（ECCO 2026）利用多组学预测单一药物应答AUC&gt;0.9，但</w:t>
      </w:r>
      <w:r>
        <w:rPr>
          <w:rFonts w:eastAsia="宋体" w:ascii="Times New Roman" w:hAnsi="Times New Roman"/>
          <w:b/>
          <w:sz w:val="20"/>
        </w:rPr>
        <w:t>跨药物类别的共有失效特征（Pan-Failure Signature）仍完全空白</w:t>
      </w:r>
      <w:r>
        <w:rPr>
          <w:rFonts w:eastAsia="宋体" w:ascii="Times New Roman" w:hAnsi="Times New Roman"/>
          <w:b w:val="0"/>
          <w:sz w:val="20"/>
        </w:rPr>
        <w:t>。临床上最棘手的问题"为什么有些患者对所有药物都无效？"无法用现有证据回答。蛋白组学层面，MMP3/MMP12可降解多种生物制剂抗体，提示可能存在"宿主固有"的跨药物失效机制，但尚无系统验证。</w:t>
      </w:r>
    </w:p>
    <w:p>
      <w:pPr>
        <w:spacing w:before="0" w:after="40" w:line="264" w:lineRule="auto"/>
        <w:ind w:firstLine="400"/>
      </w:pPr>
      <w:r>
        <w:rPr>
          <w:rFonts w:eastAsia="宋体" w:ascii="Times New Roman" w:hAnsi="Times New Roman"/>
          <w:b/>
          <w:sz w:val="20"/>
        </w:rPr>
        <w:t>困境三：指南覆盖真空。</w:t>
      </w:r>
      <w:r>
        <w:rPr>
          <w:rFonts w:eastAsia="宋体" w:ascii="Times New Roman" w:hAnsi="Times New Roman"/>
          <w:b w:val="0"/>
          <w:sz w:val="20"/>
        </w:rPr>
        <w:t xml:space="preserve"> 系统分析38部IBD共识指南发现，除IOIBD DTT-IBD定义外，</w:t>
      </w:r>
      <w:r>
        <w:rPr>
          <w:rFonts w:eastAsia="宋体" w:ascii="Times New Roman" w:hAnsi="Times New Roman"/>
          <w:b/>
          <w:sz w:val="20"/>
        </w:rPr>
        <w:t>没有任何一部指南讨论多重失效的分子机制或组学特征</w:t>
      </w:r>
      <w:r>
        <w:rPr>
          <w:rFonts w:eastAsia="宋体" w:ascii="Times New Roman" w:hAnsi="Times New Roman"/>
          <w:b w:val="0"/>
          <w:sz w:val="20"/>
        </w:rPr>
        <w:t>。对于"多种生物制剂失败后怎么办"，AGA药物治疗管理指南（2024/2025）仅建议"考虑手术"或"参加临床试验"——这直接暴露了难治性IBD管理的研究空白。</w:t>
      </w:r>
    </w:p>
    <w:p>
      <w:pPr>
        <w:spacing w:before="0" w:after="40" w:line="264" w:lineRule="auto"/>
        <w:ind w:firstLine="400"/>
      </w:pPr>
      <w:r>
        <w:rPr>
          <w:rFonts w:eastAsia="宋体" w:ascii="Times New Roman" w:hAnsi="Times New Roman"/>
          <w:b/>
          <w:sz w:val="20"/>
        </w:rPr>
        <w:t>困境四：菌群预测价值存疑。</w:t>
      </w:r>
      <w:r>
        <w:rPr>
          <w:rFonts w:eastAsia="宋体" w:ascii="Times New Roman" w:hAnsi="Times New Roman"/>
          <w:b w:val="0"/>
          <w:sz w:val="20"/>
        </w:rPr>
        <w:t xml:space="preserve"> medRxiv 2024研究表明，基线宏基因组+代谢组对VEDO/UST应答的预测价值有限（AUC仅从0.71提升至0.73），已发表的菌群预测信号未能独立复现，提示慢性患者中菌群单独预测能力可能不足。</w:t>
      </w:r>
    </w:p>
    <w:p>
      <w:pPr>
        <w:spacing w:before="60" w:after="40" w:line="240" w:lineRule="auto"/>
      </w:pPr>
      <w:r>
        <w:rPr>
          <w:rFonts w:eastAsia="黑体" w:ascii="Times New Roman" w:hAnsi="Times New Roman"/>
          <w:b/>
          <w:sz w:val="22"/>
        </w:rPr>
        <w:t>三、当前临床存在的主要问题</w:t>
      </w:r>
    </w:p>
    <w:p>
      <w:pPr>
        <w:spacing w:before="0" w:after="20" w:line="264" w:lineRule="auto"/>
        <w:ind w:left="200" w:hanging="200"/>
      </w:pPr>
      <w:r>
        <w:rPr>
          <w:rFonts w:eastAsia="宋体" w:ascii="Times New Roman" w:hAnsi="Times New Roman"/>
          <w:b/>
          <w:sz w:val="19"/>
        </w:rPr>
        <w:t xml:space="preserve">1. </w:t>
      </w:r>
      <w:r>
        <w:rPr>
          <w:rFonts w:eastAsia="宋体" w:ascii="Times New Roman" w:hAnsi="Times New Roman"/>
          <w:b/>
          <w:sz w:val="19"/>
        </w:rPr>
        <w:t>药物选择缺乏分子依据：</w:t>
      </w:r>
      <w:r>
        <w:rPr>
          <w:rFonts w:eastAsia="宋体" w:ascii="Times New Roman" w:hAnsi="Times New Roman"/>
          <w:b w:val="0"/>
          <w:sz w:val="19"/>
        </w:rPr>
        <w:t xml:space="preserve"> 初始治疗和换药决策完全依赖临床经验，粪便钙卫蛋白和CRP仅用于监测治疗应答，无预测功能。从"试错治疗"到"精准治疗"的跨越尚无可用工具。</w:t>
      </w:r>
    </w:p>
    <w:p>
      <w:pPr>
        <w:spacing w:before="0" w:after="20" w:line="264" w:lineRule="auto"/>
        <w:ind w:left="200" w:hanging="200"/>
      </w:pPr>
      <w:r>
        <w:rPr>
          <w:rFonts w:eastAsia="宋体" w:ascii="Times New Roman" w:hAnsi="Times New Roman"/>
          <w:b/>
          <w:sz w:val="19"/>
        </w:rPr>
        <w:t xml:space="preserve">2. </w:t>
      </w:r>
      <w:r>
        <w:rPr>
          <w:rFonts w:eastAsia="宋体" w:ascii="Times New Roman" w:hAnsi="Times New Roman"/>
          <w:b/>
          <w:sz w:val="19"/>
        </w:rPr>
        <w:t>多重失效定义未标准化：</w:t>
      </w:r>
      <w:r>
        <w:rPr>
          <w:rFonts w:eastAsia="宋体" w:ascii="Times New Roman" w:hAnsi="Times New Roman"/>
          <w:b w:val="0"/>
          <w:sz w:val="19"/>
        </w:rPr>
        <w:t xml:space="preserve"> IOIBD DTT-IBD定义虽已提出，但各临床试验仍采用不同纳入标准，导致研究结果不可比，无法形成循证管理路径。</w:t>
      </w:r>
    </w:p>
    <w:p>
      <w:pPr>
        <w:spacing w:before="0" w:after="20" w:line="264" w:lineRule="auto"/>
        <w:ind w:left="200" w:hanging="200"/>
      </w:pPr>
      <w:r>
        <w:rPr>
          <w:rFonts w:eastAsia="宋体" w:ascii="Times New Roman" w:hAnsi="Times New Roman"/>
          <w:b/>
          <w:sz w:val="19"/>
        </w:rPr>
        <w:t xml:space="preserve">3. </w:t>
      </w:r>
      <w:r>
        <w:rPr>
          <w:rFonts w:eastAsia="宋体" w:ascii="Times New Roman" w:hAnsi="Times New Roman"/>
          <w:b/>
          <w:sz w:val="19"/>
        </w:rPr>
        <w:t>缺乏头对头比较证据：</w:t>
      </w:r>
      <w:r>
        <w:rPr>
          <w:rFonts w:eastAsia="宋体" w:ascii="Times New Roman" w:hAnsi="Times New Roman"/>
          <w:b w:val="0"/>
          <w:sz w:val="19"/>
        </w:rPr>
        <w:t xml:space="preserve"> 不同生物制剂/小分子药物之间缺乏前瞻性RCT，序贯策略、联合治疗（如双联生物制剂）的证据仅来自小型病例系列。"选择哪种药先上"主要依赖间接比较。</w:t>
      </w:r>
    </w:p>
    <w:p>
      <w:pPr>
        <w:spacing w:before="0" w:after="20" w:line="264" w:lineRule="auto"/>
        <w:ind w:left="200" w:hanging="200"/>
      </w:pPr>
      <w:r>
        <w:rPr>
          <w:rFonts w:eastAsia="宋体" w:ascii="Times New Roman" w:hAnsi="Times New Roman"/>
          <w:b/>
          <w:sz w:val="19"/>
        </w:rPr>
        <w:t xml:space="preserve">4. </w:t>
      </w:r>
      <w:r>
        <w:rPr>
          <w:rFonts w:eastAsia="宋体" w:ascii="Times New Roman" w:hAnsi="Times New Roman"/>
          <w:b/>
          <w:sz w:val="19"/>
        </w:rPr>
        <w:t>纤维化并发症无药可治：</w:t>
      </w:r>
      <w:r>
        <w:rPr>
          <w:rFonts w:eastAsia="宋体" w:ascii="Times New Roman" w:hAnsi="Times New Roman"/>
          <w:b w:val="0"/>
          <w:sz w:val="19"/>
        </w:rPr>
        <w:t xml:space="preserve"> CD纤维化狭窄的非侵入性评估手段不足，影像学无法准确区分炎症性vs纤维性狭窄；</w:t>
      </w:r>
      <w:r>
        <w:rPr>
          <w:rFonts w:eastAsia="宋体" w:ascii="Times New Roman" w:hAnsi="Times New Roman"/>
          <w:b/>
          <w:sz w:val="19"/>
        </w:rPr>
        <w:t>目前无任何获批的IBD抗纤维化药物</w:t>
      </w:r>
      <w:r>
        <w:rPr>
          <w:rFonts w:eastAsia="宋体" w:ascii="Times New Roman" w:hAnsi="Times New Roman"/>
          <w:b w:val="0"/>
          <w:sz w:val="19"/>
        </w:rPr>
        <w:t>，这可能是CD患者最终需手术的根本原因。</w:t>
      </w:r>
    </w:p>
    <w:p>
      <w:pPr>
        <w:spacing w:before="0" w:after="20" w:line="264" w:lineRule="auto"/>
        <w:ind w:left="200" w:hanging="200"/>
      </w:pPr>
      <w:r>
        <w:rPr>
          <w:rFonts w:eastAsia="宋体" w:ascii="Times New Roman" w:hAnsi="Times New Roman"/>
          <w:b/>
          <w:sz w:val="19"/>
        </w:rPr>
        <w:t xml:space="preserve">5. </w:t>
      </w:r>
      <w:r>
        <w:rPr>
          <w:rFonts w:eastAsia="宋体" w:ascii="Times New Roman" w:hAnsi="Times New Roman"/>
          <w:b/>
          <w:sz w:val="19"/>
        </w:rPr>
        <w:t>特殊人群证据严重不足：</w:t>
      </w:r>
      <w:r>
        <w:rPr>
          <w:rFonts w:eastAsia="宋体" w:ascii="Times New Roman" w:hAnsi="Times New Roman"/>
          <w:b w:val="0"/>
          <w:sz w:val="19"/>
        </w:rPr>
        <w:t xml:space="preserve"> 91%的CD诱导试验参与者为非西班牙裔白人；老年IBD（&gt;65岁）几乎被排除在所有RCT之外；仅6%的IBD服务达到心理健康支持标准，而20%–40%的IBD患者伴发抑郁症。</w:t>
      </w:r>
    </w:p>
    <w:p>
      <w:pPr>
        <w:spacing w:before="0" w:after="20" w:line="264" w:lineRule="auto"/>
        <w:ind w:left="200" w:hanging="200"/>
      </w:pPr>
      <w:r>
        <w:rPr>
          <w:rFonts w:eastAsia="宋体" w:ascii="Times New Roman" w:hAnsi="Times New Roman"/>
          <w:b/>
          <w:sz w:val="19"/>
        </w:rPr>
        <w:t xml:space="preserve">6. </w:t>
      </w:r>
      <w:r>
        <w:rPr>
          <w:rFonts w:eastAsia="宋体" w:ascii="Times New Roman" w:hAnsi="Times New Roman"/>
          <w:b/>
          <w:sz w:val="19"/>
        </w:rPr>
        <w:t>降阶梯治疗标准缺失：</w:t>
      </w:r>
      <w:r>
        <w:rPr>
          <w:rFonts w:eastAsia="宋体" w:ascii="Times New Roman" w:hAnsi="Times New Roman"/>
          <w:b w:val="0"/>
          <w:sz w:val="19"/>
        </w:rPr>
        <w:t xml:space="preserve"> 深度缓解后何时减停、如何减停才能不失去缓解，缺乏药代动力学和药效学标准，患者可能被"过度治疗"，增加不必要的药物暴露和经济负担。</w:t>
      </w:r>
    </w:p>
    <w:p>
      <w:pPr>
        <w:spacing w:before="60" w:after="40" w:line="240" w:lineRule="auto"/>
      </w:pPr>
      <w:r>
        <w:rPr>
          <w:rFonts w:eastAsia="黑体" w:ascii="Times New Roman" w:hAnsi="Times New Roman"/>
          <w:b/>
          <w:sz w:val="22"/>
        </w:rPr>
        <w:t>四、小结与本研究方向</w:t>
      </w:r>
    </w:p>
    <w:p>
      <w:pPr>
        <w:spacing w:before="0" w:after="40" w:line="264" w:lineRule="auto"/>
        <w:ind w:firstLine="400"/>
      </w:pPr>
      <w:r>
        <w:rPr>
          <w:rFonts w:eastAsia="宋体" w:ascii="Times New Roman" w:hAnsi="Times New Roman"/>
          <w:b w:val="0"/>
          <w:sz w:val="20"/>
        </w:rPr>
        <w:t>难治性IBD是当前IBD诊疗体系中最大的未满足需求。其核心困境在于：治疗选择虽不断丰富，但</w:t>
      </w:r>
      <w:r>
        <w:rPr>
          <w:rFonts w:eastAsia="宋体" w:ascii="Times New Roman" w:hAnsi="Times New Roman"/>
          <w:b/>
          <w:sz w:val="20"/>
        </w:rPr>
        <w:t>药物选择仍处于"经验试错"阶段</w:t>
      </w:r>
      <w:r>
        <w:rPr>
          <w:rFonts w:eastAsia="宋体" w:ascii="Times New Roman" w:hAnsi="Times New Roman"/>
          <w:b w:val="0"/>
          <w:sz w:val="20"/>
        </w:rPr>
        <w:t>，多重失效的分子机制完全空白，指南体系中缺乏对这一群体的系统性管理路径。破局的关键在于：以IOIBD DTT-IBD定义为框架，利用多组学技术系统刻画跨药物共有失效签名，建立可预测多重失效风险的分子模型，最终实现从"试错治疗"向"精准治疗"的范式转变。</w:t>
      </w:r>
    </w:p>
    <w:p>
      <w:pPr>
        <w:spacing w:before="0" w:after="40" w:line="264" w:lineRule="auto"/>
        <w:ind w:firstLine="400"/>
      </w:pPr>
      <w:r>
        <w:rPr>
          <w:rFonts w:eastAsia="宋体" w:ascii="Times New Roman" w:hAnsi="Times New Roman"/>
          <w:b/>
          <w:sz w:val="20"/>
        </w:rPr>
        <w:t>本研究方向：</w:t>
      </w:r>
      <w:r>
        <w:rPr>
          <w:rFonts w:eastAsia="宋体" w:ascii="Times New Roman" w:hAnsi="Times New Roman"/>
          <w:b w:val="0"/>
          <w:sz w:val="20"/>
        </w:rPr>
        <w:t xml:space="preserve"> 以DTT-IBD定义为入组标准，采用</w:t>
      </w:r>
      <w:r>
        <w:rPr>
          <w:rFonts w:eastAsia="宋体" w:ascii="Times New Roman" w:hAnsi="Times New Roman"/>
          <w:b/>
          <w:sz w:val="20"/>
        </w:rPr>
        <w:t>转录组与蛋白组双向并列发现层架构</w:t>
      </w:r>
      <w:r>
        <w:rPr>
          <w:rFonts w:eastAsia="宋体" w:ascii="Times New Roman" w:hAnsi="Times New Roman"/>
          <w:b w:val="0"/>
          <w:sz w:val="20"/>
        </w:rPr>
        <w:t>，系统回答一个核心科学问题——</w:t>
      </w:r>
      <w:r>
        <w:rPr>
          <w:rFonts w:eastAsia="宋体" w:ascii="Times New Roman" w:hAnsi="Times New Roman"/>
          <w:b/>
          <w:sz w:val="20"/>
        </w:rPr>
        <w:t>对≥2种不同机制药物均失效的IBD患者是否共享一组跨药物共有失效签名（Pan-Failure Signature）？</w:t>
      </w:r>
      <w:r>
        <w:rPr>
          <w:rFonts w:eastAsia="宋体" w:ascii="Times New Roman" w:hAnsi="Times New Roman"/>
          <w:b w:val="0"/>
          <w:sz w:val="20"/>
        </w:rPr>
        <w:t xml:space="preserve"> 具体分三层推进：①Tier 1发现层——整合GEO/PRIDE/SPARC等公开数据，分别提取anti-TNF、VEDO、UST失效签名并取交集，同时利用UKB-PPP蛋白组数据进行孟德尔随机化因果推断；②Tier 2验证层——前瞻性新诊断队列，验证基线签名预测未来多重失效的效能（目标AUC&gt;0.75）；③转化层——结合类器官模型和功能实验，验证签名基因的因果性和治疗靶点价值。该方向是目前文献中完全空白的领域，兼具临床转化价值与学术创新性。</w:t>
      </w:r>
    </w:p>
    <w:p>
      <w:pPr>
        <w:spacing w:before="80" w:after="0" w:line="264" w:lineRule="auto"/>
      </w:pPr>
      <w:r>
        <w:rPr>
          <w:rFonts w:eastAsia="黑体" w:ascii="Times New Roman" w:hAnsi="Times New Roman"/>
          <w:b/>
          <w:sz w:val="18"/>
        </w:rPr>
        <w:t>主要参考文献：</w:t>
      </w:r>
    </w:p>
    <w:p>
      <w:pPr>
        <w:spacing w:before="0" w:after="0" w:line="264" w:lineRule="auto"/>
        <w:ind w:left="200" w:hanging="200"/>
      </w:pPr>
      <w:r>
        <w:rPr>
          <w:rFonts w:eastAsia="宋体" w:ascii="Times New Roman" w:hAnsi="Times New Roman"/>
          <w:b w:val="0"/>
          <w:sz w:val="17"/>
        </w:rPr>
        <w:t>[1] Parigi TL, et al. Lancet Gastroenterol Hepatol 2023;8(9):853-859.</w:t>
      </w:r>
    </w:p>
    <w:p>
      <w:pPr>
        <w:spacing w:before="0" w:after="0" w:line="264" w:lineRule="auto"/>
        <w:ind w:left="200" w:hanging="200"/>
      </w:pPr>
      <w:r>
        <w:rPr>
          <w:rFonts w:eastAsia="宋体" w:ascii="Times New Roman" w:hAnsi="Times New Roman"/>
          <w:b w:val="0"/>
          <w:sz w:val="17"/>
        </w:rPr>
        <w:t>[2] Ernest-Suárez K, et al. J Crohn's Colitis 2026;20(Suppl 1):jjaf231.574.</w:t>
      </w:r>
    </w:p>
    <w:p>
      <w:pPr>
        <w:spacing w:before="0" w:after="0" w:line="264" w:lineRule="auto"/>
        <w:ind w:left="200" w:hanging="200"/>
      </w:pPr>
      <w:r>
        <w:rPr>
          <w:rFonts w:eastAsia="宋体" w:ascii="Times New Roman" w:hAnsi="Times New Roman"/>
          <w:b w:val="0"/>
          <w:sz w:val="17"/>
        </w:rPr>
        <w:t>[3] Baldan-Martin M, et al. J Crohn's Colitis 2026;20(Suppl 1):jjaf231.108.</w:t>
      </w:r>
    </w:p>
    <w:p>
      <w:pPr>
        <w:spacing w:before="0" w:after="0" w:line="264" w:lineRule="auto"/>
        <w:ind w:left="200" w:hanging="200"/>
      </w:pPr>
      <w:r>
        <w:rPr>
          <w:rFonts w:eastAsia="宋体" w:ascii="Times New Roman" w:hAnsi="Times New Roman"/>
          <w:b w:val="0"/>
          <w:sz w:val="17"/>
        </w:rPr>
        <w:t>[4] AGA Clinical Practice Guidelines on Biomarkers (CD/UC). Gastroenterology 2023.</w:t>
      </w:r>
    </w:p>
    <w:p>
      <w:pPr>
        <w:spacing w:before="0" w:after="0" w:line="264" w:lineRule="auto"/>
        <w:ind w:left="200" w:hanging="200"/>
      </w:pPr>
      <w:r>
        <w:rPr>
          <w:rFonts w:eastAsia="宋体" w:ascii="Times New Roman" w:hAnsi="Times New Roman"/>
          <w:b w:val="0"/>
          <w:sz w:val="17"/>
        </w:rPr>
        <w:t>[5] medRxiv 2024.05.10.24307195.</w:t>
      </w:r>
    </w:p>
    <w:p>
      <w:pPr>
        <w:spacing w:before="0" w:after="0" w:line="264" w:lineRule="auto"/>
        <w:ind w:left="200" w:hanging="200"/>
      </w:pPr>
      <w:r>
        <w:rPr>
          <w:rFonts w:eastAsia="宋体" w:ascii="Times New Roman" w:hAnsi="Times New Roman"/>
          <w:b w:val="0"/>
          <w:sz w:val="17"/>
        </w:rPr>
        <w:t>[6] Puca P, et al. Int J Mol Sci 2024;25(5):2789.</w:t>
      </w:r>
    </w:p>
    <w:p>
      <w:pPr>
        <w:spacing w:before="0" w:after="0" w:line="264" w:lineRule="auto"/>
        <w:ind w:left="200" w:hanging="200"/>
      </w:pPr>
      <w:r>
        <w:rPr>
          <w:rFonts w:eastAsia="宋体" w:ascii="Times New Roman" w:hAnsi="Times New Roman"/>
          <w:b w:val="0"/>
          <w:sz w:val="17"/>
        </w:rPr>
        <w:t>[7] Nat Rev Gastroenterol Hepatol 2025;22:391-410.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