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AF48" w14:textId="723D117E" w:rsidR="009F7A29" w:rsidRDefault="00037D3E" w:rsidP="00037D3E">
      <w:pPr>
        <w:jc w:val="center"/>
        <w:rPr>
          <w:sz w:val="28"/>
        </w:rPr>
      </w:pPr>
      <w:r>
        <w:rPr>
          <w:sz w:val="28"/>
        </w:rPr>
        <w:t>Assignment 8P</w:t>
      </w:r>
    </w:p>
    <w:p w14:paraId="23C99A25" w14:textId="1DEB2698" w:rsidR="00DD51AA" w:rsidRDefault="00DD51AA" w:rsidP="00DD51AA">
      <w:pPr>
        <w:rPr>
          <w:b/>
          <w:sz w:val="16"/>
        </w:rPr>
      </w:pPr>
    </w:p>
    <w:p w14:paraId="6134671D" w14:textId="6718B858" w:rsidR="00BE75F6" w:rsidRDefault="00BE75F6" w:rsidP="00BE75F6">
      <w:pPr>
        <w:rPr>
          <w:rFonts w:eastAsiaTheme="minorEastAsia"/>
          <w:i/>
        </w:rPr>
      </w:pPr>
      <w:r>
        <w:rPr>
          <w:i/>
        </w:rPr>
        <w:t>Assignment:</w:t>
      </w:r>
      <w:r>
        <w:t xml:space="preserve"> </w:t>
      </w:r>
      <w:r w:rsidR="00EA08A0">
        <w:rPr>
          <w:i/>
        </w:rPr>
        <w:t xml:space="preserve">Write a computer code to solve by the Crank-Nicolson method over the time interval </w:t>
      </w:r>
      <m:oMath>
        <m:r>
          <w:rPr>
            <w:rFonts w:ascii="Cambria Math" w:hAnsi="Cambria Math"/>
          </w:rPr>
          <m:t>0≤t≤T</m:t>
        </m:r>
      </m:oMath>
      <w:r w:rsidR="00EA08A0">
        <w:rPr>
          <w:rFonts w:eastAsiaTheme="minorEastAsia"/>
          <w:i/>
        </w:rPr>
        <w:t xml:space="preserve"> </w:t>
      </w:r>
      <w:r w:rsidR="00A61F06">
        <w:rPr>
          <w:rFonts w:eastAsiaTheme="minorEastAsia"/>
          <w:i/>
        </w:rPr>
        <w:t xml:space="preserve">the </w:t>
      </w:r>
      <w:proofErr w:type="gramStart"/>
      <w:r w:rsidR="00A61F06">
        <w:rPr>
          <w:rFonts w:eastAsiaTheme="minorEastAsia"/>
          <w:i/>
        </w:rPr>
        <w:t>one dimensional</w:t>
      </w:r>
      <w:proofErr w:type="gramEnd"/>
      <w:r w:rsidR="00A61F06">
        <w:rPr>
          <w:rFonts w:eastAsiaTheme="minorEastAsia"/>
          <w:i/>
        </w:rPr>
        <w:t xml:space="preserve"> diffusion equation </w:t>
      </w:r>
    </w:p>
    <w:p w14:paraId="3A64E3AF" w14:textId="4B7F70A3" w:rsidR="00A61F06" w:rsidRDefault="00A61F06" w:rsidP="00A61F06">
      <w:pPr>
        <w:pStyle w:val="NoSpacing"/>
      </w:pPr>
    </w:p>
    <w:p w14:paraId="731102AA" w14:textId="726A8146" w:rsidR="00A61F06" w:rsidRDefault="00A61F06" w:rsidP="00A61F06"/>
    <w:p w14:paraId="7AEE6040" w14:textId="71B5D018" w:rsidR="001635C1" w:rsidRPr="00002989" w:rsidRDefault="00C74E86" w:rsidP="001635C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+F(x,t)</m:t>
          </m:r>
        </m:oMath>
      </m:oMathPara>
    </w:p>
    <w:p w14:paraId="66FD0F4B" w14:textId="1540A3B7" w:rsidR="00002989" w:rsidRDefault="00002989" w:rsidP="001635C1">
      <w:pPr>
        <w:jc w:val="center"/>
      </w:pPr>
    </w:p>
    <w:p w14:paraId="6BD5536F" w14:textId="355C6377" w:rsidR="00002989" w:rsidRDefault="00002989" w:rsidP="00002989">
      <w:pPr>
        <w:rPr>
          <w:rFonts w:eastAsiaTheme="minorEastAsia"/>
          <w:i/>
        </w:rPr>
      </w:pPr>
      <w:r>
        <w:rPr>
          <w:i/>
        </w:rPr>
        <w:t xml:space="preserve">With </w:t>
      </w:r>
      <m:oMath>
        <m:r>
          <w:rPr>
            <w:rFonts w:ascii="Cambria Math" w:hAnsi="Cambria Math"/>
          </w:rPr>
          <m:t>0≤x≤L</m:t>
        </m:r>
      </m:oMath>
      <w:r>
        <w:rPr>
          <w:rFonts w:eastAsiaTheme="minorEastAsia"/>
          <w:i/>
        </w:rPr>
        <w:t xml:space="preserve"> </w:t>
      </w:r>
      <w:r w:rsidR="00813FC7">
        <w:rPr>
          <w:rFonts w:eastAsiaTheme="minorEastAsia"/>
          <w:i/>
        </w:rPr>
        <w:t>and the constant D and the function F(</w:t>
      </w:r>
      <w:proofErr w:type="spellStart"/>
      <w:proofErr w:type="gramStart"/>
      <w:r w:rsidR="00813FC7">
        <w:rPr>
          <w:rFonts w:eastAsiaTheme="minorEastAsia"/>
          <w:i/>
        </w:rPr>
        <w:t>x,t</w:t>
      </w:r>
      <w:proofErr w:type="spellEnd"/>
      <w:proofErr w:type="gramEnd"/>
      <w:r w:rsidR="00813FC7">
        <w:rPr>
          <w:rFonts w:eastAsiaTheme="minorEastAsia"/>
          <w:i/>
        </w:rPr>
        <w:t>) prescribed along with the initial conditions and boundary conditions,</w:t>
      </w:r>
    </w:p>
    <w:p w14:paraId="3460ADCA" w14:textId="7BF7E4E3" w:rsidR="00813FC7" w:rsidRDefault="00813FC7" w:rsidP="00002989">
      <w:pPr>
        <w:rPr>
          <w:i/>
        </w:rPr>
      </w:pPr>
    </w:p>
    <w:p w14:paraId="7014D5BE" w14:textId="1D87FFC0" w:rsidR="00813FC7" w:rsidRPr="00D45C35" w:rsidRDefault="00D45C35" w:rsidP="000029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56B18C8" w14:textId="77777777" w:rsidR="00D45C35" w:rsidRPr="00D45C35" w:rsidRDefault="00D45C35" w:rsidP="00002989">
      <w:pPr>
        <w:rPr>
          <w:rFonts w:eastAsiaTheme="minorEastAsia"/>
          <w:i/>
        </w:rPr>
      </w:pPr>
    </w:p>
    <w:p w14:paraId="00BD73EE" w14:textId="78A274B0" w:rsidR="00D45C35" w:rsidRPr="00D45C35" w:rsidRDefault="00D45C35" w:rsidP="00D45C3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0B638172" w14:textId="77777777" w:rsidR="00D45C35" w:rsidRPr="00D45C35" w:rsidRDefault="00D45C35" w:rsidP="00D45C35">
      <w:pPr>
        <w:jc w:val="center"/>
        <w:rPr>
          <w:rFonts w:eastAsiaTheme="minorEastAsia"/>
          <w:i/>
        </w:rPr>
      </w:pPr>
    </w:p>
    <w:p w14:paraId="4392C453" w14:textId="5FCED9D7" w:rsidR="00D45C35" w:rsidRPr="00D45C35" w:rsidRDefault="00D45C35" w:rsidP="00D45C3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77061EF7" w14:textId="41C1A649" w:rsidR="00D45C35" w:rsidRDefault="00D45C35" w:rsidP="00D45C35">
      <w:pPr>
        <w:jc w:val="center"/>
        <w:rPr>
          <w:rFonts w:eastAsiaTheme="minorEastAsia"/>
          <w:i/>
        </w:rPr>
      </w:pPr>
    </w:p>
    <w:p w14:paraId="3D151390" w14:textId="35C2B14A" w:rsidR="003E7416" w:rsidRDefault="003E7416" w:rsidP="003E7416">
      <w:pPr>
        <w:pStyle w:val="Heading1"/>
        <w:rPr>
          <w:rFonts w:eastAsiaTheme="minorEastAsia"/>
        </w:rPr>
      </w:pPr>
      <w:r>
        <w:rPr>
          <w:rFonts w:eastAsiaTheme="minorEastAsia"/>
        </w:rPr>
        <w:t>Part I</w:t>
      </w:r>
    </w:p>
    <w:p w14:paraId="0918418C" w14:textId="02974D4A" w:rsidR="00D52A4E" w:rsidRDefault="00D52A4E" w:rsidP="00D52A4E"/>
    <w:p w14:paraId="017CB08E" w14:textId="4ECDFE6D" w:rsidR="00D52A4E" w:rsidRDefault="00C66575" w:rsidP="00D52A4E">
      <w:r>
        <w:tab/>
        <w:t>The parameters used to initialize the implementation of the Crank-Nicolson scheme</w:t>
      </w:r>
      <w:r w:rsidR="003343B6">
        <w:t xml:space="preserve"> can be found in Table 1. The code used to solve this assignment can be found in </w:t>
      </w:r>
      <w:proofErr w:type="gramStart"/>
      <w:r w:rsidR="00C17935">
        <w:t>the .git</w:t>
      </w:r>
      <w:proofErr w:type="gramEnd"/>
      <w:r w:rsidR="00C17935">
        <w:t xml:space="preserve"> folder submitted with this report.</w:t>
      </w:r>
    </w:p>
    <w:p w14:paraId="17824817" w14:textId="77777777" w:rsidR="00BB6392" w:rsidRDefault="00BB6392" w:rsidP="00D52A4E"/>
    <w:p w14:paraId="2556E63C" w14:textId="5784BCC9" w:rsidR="00252197" w:rsidRDefault="009F0CA8" w:rsidP="00E761FC">
      <w:pPr>
        <w:pStyle w:val="NoSpacing"/>
      </w:pPr>
      <w:r>
        <w:t>Table 1. Parameters used to initialize the Crank-Nicolson scheme</w:t>
      </w:r>
      <w:r w:rsidR="0099366E">
        <w:t xml:space="preserve"> for Part I</w:t>
      </w:r>
    </w:p>
    <w:p w14:paraId="06A977A1" w14:textId="77777777" w:rsidR="00E761FC" w:rsidRPr="00E761FC" w:rsidRDefault="00E761FC" w:rsidP="00E761FC">
      <w:pPr>
        <w:pStyle w:val="NoSpacing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1FC" w14:paraId="4C593863" w14:textId="77777777" w:rsidTr="00E76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10F3FE" w14:textId="3F4C1F01" w:rsidR="00E761FC" w:rsidRPr="00C74E86" w:rsidRDefault="00C74E86" w:rsidP="00767772">
            <w:pPr>
              <w:rPr>
                <w:rFonts w:eastAsiaTheme="minorEastAsia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L=π</m:t>
                </m:r>
              </m:oMath>
            </m:oMathPara>
          </w:p>
        </w:tc>
        <w:tc>
          <w:tcPr>
            <w:tcW w:w="4675" w:type="dxa"/>
          </w:tcPr>
          <w:p w14:paraId="226D0B5A" w14:textId="1F841E30" w:rsidR="00E761FC" w:rsidRPr="00C74E86" w:rsidRDefault="00C74E86" w:rsidP="00767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(t)=0</m:t>
                </m:r>
              </m:oMath>
            </m:oMathPara>
          </w:p>
        </w:tc>
      </w:tr>
      <w:tr w:rsidR="00E761FC" w14:paraId="07B41067" w14:textId="77777777" w:rsidTr="00E76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D50CC1" w14:textId="1992D000" w:rsidR="00E761FC" w:rsidRPr="00C74E86" w:rsidRDefault="00C74E86" w:rsidP="00767772">
            <w:pPr>
              <w:rPr>
                <w:rFonts w:eastAsiaTheme="minorEastAsia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D=0.1</m:t>
                </m:r>
              </m:oMath>
            </m:oMathPara>
          </w:p>
        </w:tc>
        <w:tc>
          <w:tcPr>
            <w:tcW w:w="4675" w:type="dxa"/>
          </w:tcPr>
          <w:p w14:paraId="2956F2F9" w14:textId="1D9023D4" w:rsidR="00E761FC" w:rsidRPr="00C74E86" w:rsidRDefault="00C74E86" w:rsidP="0076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(t)=0</m:t>
                </m:r>
              </m:oMath>
            </m:oMathPara>
          </w:p>
        </w:tc>
      </w:tr>
      <w:tr w:rsidR="00E761FC" w14:paraId="4BB0B68A" w14:textId="77777777" w:rsidTr="00E76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60002" w14:textId="1F0DEC96" w:rsidR="00E761FC" w:rsidRPr="00C74E86" w:rsidRDefault="00C74E86" w:rsidP="00767772">
            <w:pPr>
              <w:rPr>
                <w:rFonts w:eastAsiaTheme="minorEastAsia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T=10</m:t>
                </m:r>
              </m:oMath>
            </m:oMathPara>
          </w:p>
        </w:tc>
        <w:tc>
          <w:tcPr>
            <w:tcW w:w="4675" w:type="dxa"/>
          </w:tcPr>
          <w:p w14:paraId="0F9B163C" w14:textId="3ED8DE84" w:rsidR="00E761FC" w:rsidRPr="00C74E86" w:rsidRDefault="00C74E86" w:rsidP="0076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e>
                    </m:d>
                  </m:e>
                </m:func>
              </m:oMath>
            </m:oMathPara>
          </w:p>
        </w:tc>
      </w:tr>
      <w:tr w:rsidR="00E761FC" w14:paraId="582BBBA2" w14:textId="77777777" w:rsidTr="00E76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57B58E" w14:textId="06D675C1" w:rsidR="00E761FC" w:rsidRPr="00C74E86" w:rsidRDefault="00C74E86" w:rsidP="00767772">
            <w:pPr>
              <w:rPr>
                <w:rFonts w:eastAsiaTheme="minorEastAsia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F(x,t)=0</m:t>
                </m:r>
              </m:oMath>
            </m:oMathPara>
          </w:p>
        </w:tc>
        <w:tc>
          <w:tcPr>
            <w:tcW w:w="4675" w:type="dxa"/>
          </w:tcPr>
          <w:p w14:paraId="20DCF83B" w14:textId="1009B741" w:rsidR="00E761FC" w:rsidRPr="00C74E86" w:rsidRDefault="00C74E86" w:rsidP="0076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k=1</m:t>
                </m:r>
              </m:oMath>
            </m:oMathPara>
          </w:p>
        </w:tc>
      </w:tr>
    </w:tbl>
    <w:p w14:paraId="3B723B31" w14:textId="77777777" w:rsidR="005C2CDA" w:rsidRPr="00531180" w:rsidRDefault="005C2CDA" w:rsidP="00767772">
      <w:pPr>
        <w:rPr>
          <w:rFonts w:eastAsiaTheme="minorEastAsia"/>
        </w:rPr>
      </w:pPr>
    </w:p>
    <w:p w14:paraId="4969C3C2" w14:textId="0183E925" w:rsidR="00B60CF5" w:rsidRDefault="00B60CF5" w:rsidP="00C76625">
      <w:pPr>
        <w:rPr>
          <w:rFonts w:eastAsiaTheme="minorEastAsia"/>
        </w:rPr>
      </w:pPr>
      <w:r>
        <w:rPr>
          <w:rFonts w:eastAsiaTheme="minorEastAsia"/>
        </w:rPr>
        <w:t>The exact solution to the differential equation is</w:t>
      </w:r>
    </w:p>
    <w:p w14:paraId="3C93E3EB" w14:textId="109B800C" w:rsidR="00B60CF5" w:rsidRDefault="00B60CF5" w:rsidP="00C76625">
      <w:pPr>
        <w:rPr>
          <w:rFonts w:eastAsiaTheme="minorEastAsia"/>
        </w:rPr>
      </w:pPr>
    </w:p>
    <w:p w14:paraId="388C0ADA" w14:textId="0FB8D7D6" w:rsidR="00B60CF5" w:rsidRDefault="001C2D2A" w:rsidP="00C766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(kx)</m:t>
          </m:r>
        </m:oMath>
      </m:oMathPara>
    </w:p>
    <w:p w14:paraId="6B95C6FB" w14:textId="77777777" w:rsidR="00B60CF5" w:rsidRDefault="00B60CF5" w:rsidP="00C76625">
      <w:pPr>
        <w:rPr>
          <w:rFonts w:eastAsiaTheme="minorEastAsia"/>
        </w:rPr>
      </w:pPr>
    </w:p>
    <w:p w14:paraId="14EB6CEA" w14:textId="7987D8D1" w:rsidR="00C76625" w:rsidRPr="008B07B3" w:rsidRDefault="003149DF" w:rsidP="00C76625">
      <w:pPr>
        <w:rPr>
          <w:rFonts w:eastAsiaTheme="minorEastAsia"/>
        </w:rPr>
      </w:pPr>
      <w:r>
        <w:rPr>
          <w:rFonts w:eastAsiaTheme="minorEastAsia"/>
        </w:rPr>
        <w:t xml:space="preserve">For Part I, grid convergence </w:t>
      </w:r>
      <w:r w:rsidR="00077820">
        <w:rPr>
          <w:rFonts w:eastAsiaTheme="minorEastAsia"/>
        </w:rPr>
        <w:t>occurred</w:t>
      </w:r>
      <w:r w:rsidR="00962671">
        <w:rPr>
          <w:rFonts w:eastAsiaTheme="minorEastAsia"/>
        </w:rPr>
        <w:t xml:space="preserve"> without issue. </w:t>
      </w:r>
      <w:r w:rsidR="00FF530D">
        <w:rPr>
          <w:rFonts w:eastAsiaTheme="minorEastAsia"/>
        </w:rPr>
        <w:t xml:space="preserve">Figure 1 offers a </w:t>
      </w:r>
      <w:r w:rsidR="0025306E">
        <w:rPr>
          <w:rFonts w:eastAsiaTheme="minorEastAsia"/>
        </w:rPr>
        <w:t>brief</w:t>
      </w:r>
      <w:r w:rsidR="00FF530D">
        <w:rPr>
          <w:rFonts w:eastAsiaTheme="minorEastAsia"/>
        </w:rPr>
        <w:t xml:space="preserve"> comparison </w:t>
      </w:r>
      <w:r w:rsidR="00E761FC">
        <w:rPr>
          <w:rFonts w:eastAsiaTheme="minorEastAsia"/>
        </w:rPr>
        <w:t>between the exact solution and the solution approximated by the Crank-Nicolson scheme</w:t>
      </w:r>
      <w:r w:rsidR="00C974B2">
        <w:rPr>
          <w:rFonts w:eastAsiaTheme="minorEastAsia"/>
        </w:rPr>
        <w:t>.</w:t>
      </w:r>
      <w:r w:rsidR="00096D69">
        <w:rPr>
          <w:rFonts w:eastAsiaTheme="minorEastAsia"/>
        </w:rPr>
        <w:t xml:space="preserve"> Two comparisons are made in the figure for the case where the number of discrete points on each axis </w:t>
      </w:r>
      <w:r w:rsidR="00BF6BDB">
        <w:rPr>
          <w:rFonts w:eastAsiaTheme="minorEastAsia"/>
        </w:rPr>
        <w:t>are the same, N = 5 and N = 10.</w:t>
      </w:r>
      <w:r w:rsidR="00A94154">
        <w:rPr>
          <w:rFonts w:eastAsiaTheme="minorEastAsia"/>
        </w:rPr>
        <w:t xml:space="preserve"> </w:t>
      </w:r>
    </w:p>
    <w:p w14:paraId="2AF361D0" w14:textId="3316DC4A" w:rsidR="00C76625" w:rsidRDefault="00C76625" w:rsidP="00C76625">
      <w:pPr>
        <w:rPr>
          <w:rFonts w:eastAsiaTheme="minorEastAsia"/>
        </w:rPr>
      </w:pPr>
      <w:bookmarkStart w:id="0" w:name="_GoBack"/>
      <w:bookmarkEnd w:id="0"/>
    </w:p>
    <w:p w14:paraId="0F0DD8FB" w14:textId="77147EC8" w:rsidR="0025306E" w:rsidRDefault="0025306E" w:rsidP="000154D9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69766913" wp14:editId="1BD977E0">
            <wp:extent cx="2843630" cy="24334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_Surface_Comparis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95" cy="24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BE5">
        <w:rPr>
          <w:noProof/>
        </w:rPr>
        <w:drawing>
          <wp:inline distT="0" distB="0" distL="0" distR="0" wp14:anchorId="6850BCAF" wp14:editId="63A910F5">
            <wp:extent cx="3027202" cy="22716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_Surface_Comparison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85" cy="23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183" w14:textId="7496F271" w:rsidR="0025306E" w:rsidRPr="00C76625" w:rsidRDefault="000154D9" w:rsidP="000154D9">
      <w:pPr>
        <w:pStyle w:val="NoSpacing"/>
        <w:jc w:val="center"/>
      </w:pPr>
      <w:r>
        <w:t xml:space="preserve">Figure 1. Comparison of Exact Solution and Crank-Nicolson Scheme for </w:t>
      </w:r>
      <w:r w:rsidR="009853EB">
        <w:t xml:space="preserve">(a) </w:t>
      </w:r>
      <w:r>
        <w:t>N = 5</w:t>
      </w:r>
      <w:r w:rsidR="009853EB">
        <w:t xml:space="preserve"> (b) N = 10</w:t>
      </w:r>
    </w:p>
    <w:p w14:paraId="303030E7" w14:textId="77777777" w:rsidR="00C76625" w:rsidRPr="00C76625" w:rsidRDefault="00C76625" w:rsidP="00531180">
      <w:pPr>
        <w:rPr>
          <w:rFonts w:eastAsiaTheme="minorEastAsia"/>
        </w:rPr>
      </w:pPr>
    </w:p>
    <w:p w14:paraId="3919F4D2" w14:textId="7091CE11" w:rsidR="00531180" w:rsidRDefault="00531180" w:rsidP="00D52A4E">
      <w:pPr>
        <w:rPr>
          <w:rFonts w:eastAsiaTheme="minorEastAsia"/>
        </w:rPr>
      </w:pPr>
    </w:p>
    <w:p w14:paraId="249B60F5" w14:textId="41EC701F" w:rsidR="009F5A2A" w:rsidRDefault="00032EF3" w:rsidP="00D52A4E">
      <w:pPr>
        <w:rPr>
          <w:rFonts w:eastAsiaTheme="minorEastAsia"/>
        </w:rPr>
      </w:pPr>
      <w:r>
        <w:rPr>
          <w:rFonts w:eastAsiaTheme="minorEastAsia"/>
        </w:rPr>
        <w:t>Figure 2 offers an example of the grid convergence at t = T</w:t>
      </w:r>
      <w:r w:rsidR="00AE7A79">
        <w:rPr>
          <w:rFonts w:eastAsiaTheme="minorEastAsia"/>
        </w:rPr>
        <w:t xml:space="preserve">. </w:t>
      </w:r>
      <w:r w:rsidR="00342D48">
        <w:rPr>
          <w:rFonts w:eastAsiaTheme="minorEastAsia"/>
        </w:rPr>
        <w:t>Several other comparisons between the exact solution and the one provided by the Crank-Nicolson discretization can be found in Figure</w:t>
      </w:r>
      <w:r w:rsidR="001B2444">
        <w:rPr>
          <w:rFonts w:eastAsiaTheme="minorEastAsia"/>
        </w:rPr>
        <w:t xml:space="preserve"> 3 and Figure 4.</w:t>
      </w:r>
    </w:p>
    <w:p w14:paraId="219B42E2" w14:textId="15B33307" w:rsidR="00197FCE" w:rsidRDefault="00197FCE" w:rsidP="00D52A4E">
      <w:pPr>
        <w:rPr>
          <w:rFonts w:eastAsiaTheme="minorEastAsia"/>
        </w:rPr>
      </w:pPr>
    </w:p>
    <w:p w14:paraId="16B95FE6" w14:textId="77777777" w:rsidR="00A52EBF" w:rsidRDefault="00A52EBF" w:rsidP="00D52A4E">
      <w:pPr>
        <w:rPr>
          <w:rFonts w:eastAsiaTheme="minorEastAsia"/>
        </w:rPr>
      </w:pPr>
    </w:p>
    <w:p w14:paraId="26C40C77" w14:textId="3768AB4C" w:rsidR="00197FCE" w:rsidRDefault="00197FCE" w:rsidP="0054377C">
      <w:pPr>
        <w:pStyle w:val="NoSpacing"/>
        <w:jc w:val="center"/>
      </w:pPr>
      <w:r>
        <w:rPr>
          <w:noProof/>
        </w:rPr>
        <w:drawing>
          <wp:inline distT="0" distB="0" distL="0" distR="0" wp14:anchorId="00F4BED2" wp14:editId="38A8F97B">
            <wp:extent cx="4369000" cy="32151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id_convergence_par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15" cy="32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496B" w14:textId="60A0B18D" w:rsidR="00197FCE" w:rsidRDefault="00197FCE" w:rsidP="0054377C">
      <w:pPr>
        <w:pStyle w:val="NoSpacing"/>
        <w:jc w:val="center"/>
      </w:pPr>
      <w:r>
        <w:t xml:space="preserve">Figure 2. </w:t>
      </w:r>
      <w:r w:rsidR="0054377C">
        <w:t>Grid Convergence of Crank-Nicolson Scheme at t = T</w:t>
      </w:r>
    </w:p>
    <w:p w14:paraId="0FC85481" w14:textId="135E8A05" w:rsidR="00A52EBF" w:rsidRDefault="00A52EBF" w:rsidP="0054377C">
      <w:pPr>
        <w:pStyle w:val="NoSpacing"/>
        <w:jc w:val="center"/>
      </w:pPr>
    </w:p>
    <w:p w14:paraId="2CE19B4A" w14:textId="660F2592" w:rsidR="00A52EBF" w:rsidRDefault="00A52EBF">
      <w:pPr>
        <w:spacing w:after="160" w:line="259" w:lineRule="auto"/>
        <w:rPr>
          <w:b/>
          <w:sz w:val="16"/>
        </w:rPr>
      </w:pPr>
      <w:r>
        <w:br w:type="page"/>
      </w:r>
    </w:p>
    <w:p w14:paraId="6E213B03" w14:textId="7748D985" w:rsidR="00A52EBF" w:rsidRDefault="00471227" w:rsidP="0054377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D1D42B4" wp14:editId="4C2FA603">
            <wp:extent cx="4027170" cy="302037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34" cy="30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CB2A" w14:textId="77777777" w:rsidR="00471227" w:rsidRDefault="00471227" w:rsidP="0054377C">
      <w:pPr>
        <w:pStyle w:val="NoSpacing"/>
        <w:jc w:val="center"/>
      </w:pPr>
    </w:p>
    <w:p w14:paraId="458E16D6" w14:textId="6F1FD21E" w:rsidR="00A52EBF" w:rsidRDefault="00A52EBF" w:rsidP="0054377C">
      <w:pPr>
        <w:pStyle w:val="NoSpacing"/>
        <w:jc w:val="center"/>
      </w:pPr>
      <w:r>
        <w:t xml:space="preserve">Figure 3. Comparison </w:t>
      </w:r>
      <w:r w:rsidR="00471227">
        <w:t>between exact solution and Crank-Nicolson implementation for t = 1.11 and N = 8</w:t>
      </w:r>
    </w:p>
    <w:p w14:paraId="32CCBBEA" w14:textId="7386BF75" w:rsidR="00471227" w:rsidRDefault="00471227" w:rsidP="0054377C">
      <w:pPr>
        <w:pStyle w:val="NoSpacing"/>
        <w:jc w:val="center"/>
      </w:pPr>
    </w:p>
    <w:p w14:paraId="136BF1EE" w14:textId="31F7E0CD" w:rsidR="00471227" w:rsidRDefault="00471227" w:rsidP="0054377C">
      <w:pPr>
        <w:pStyle w:val="NoSpacing"/>
        <w:jc w:val="center"/>
      </w:pPr>
      <w:r>
        <w:rPr>
          <w:noProof/>
        </w:rPr>
        <w:drawing>
          <wp:inline distT="0" distB="0" distL="0" distR="0" wp14:anchorId="37E812BF" wp14:editId="6C7FDFF0">
            <wp:extent cx="3849370" cy="28870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078" cy="29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A73" w14:textId="77777777" w:rsidR="00471227" w:rsidRDefault="00471227" w:rsidP="0054377C">
      <w:pPr>
        <w:pStyle w:val="NoSpacing"/>
        <w:jc w:val="center"/>
      </w:pPr>
    </w:p>
    <w:p w14:paraId="02865A75" w14:textId="77777777" w:rsidR="00471227" w:rsidRDefault="00471227" w:rsidP="00471227">
      <w:pPr>
        <w:pStyle w:val="NoSpacing"/>
        <w:jc w:val="center"/>
      </w:pPr>
      <w:r>
        <w:t>Figure 3. Comparison between exact solution and Crank-Nicolson implementation for t = 1.11 and N = 8</w:t>
      </w:r>
    </w:p>
    <w:p w14:paraId="3962BEFD" w14:textId="77777777" w:rsidR="00471227" w:rsidRDefault="00471227" w:rsidP="0054377C">
      <w:pPr>
        <w:pStyle w:val="NoSpacing"/>
        <w:jc w:val="center"/>
      </w:pPr>
    </w:p>
    <w:p w14:paraId="6DF93AA1" w14:textId="1C8A67AB" w:rsidR="00A52EBF" w:rsidRDefault="00A52EBF" w:rsidP="0054377C">
      <w:pPr>
        <w:pStyle w:val="NoSpacing"/>
        <w:jc w:val="center"/>
      </w:pPr>
    </w:p>
    <w:p w14:paraId="04B7D634" w14:textId="4676AD2E" w:rsidR="00A52EBF" w:rsidRDefault="003B4719" w:rsidP="003B4719">
      <w:pPr>
        <w:rPr>
          <w:rFonts w:eastAsiaTheme="minorEastAsia"/>
        </w:rPr>
      </w:pPr>
      <w:r>
        <w:t xml:space="preserve">It is known that the error associated with the Crank-Nicolson scheme </w:t>
      </w:r>
      <w:r w:rsidR="005F053E">
        <w:t xml:space="preserve">due to Taylor series truncation is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A25D2D">
        <w:rPr>
          <w:rFonts w:eastAsiaTheme="minorEastAsia"/>
        </w:rPr>
        <w:t xml:space="preserve"> which can be verified by increasing the number of discrete points in the domain and computing the average error. The result of such a </w:t>
      </w:r>
      <w:r w:rsidR="0002385D">
        <w:rPr>
          <w:rFonts w:eastAsiaTheme="minorEastAsia"/>
        </w:rPr>
        <w:t>computation for t = T can be seen in Figure 4 where the order of accuracy is verified by the p</w:t>
      </w:r>
      <w:r w:rsidR="002010D4">
        <w:rPr>
          <w:rFonts w:eastAsiaTheme="minorEastAsia"/>
        </w:rPr>
        <w:t>olynomial fit.</w:t>
      </w:r>
    </w:p>
    <w:p w14:paraId="51DEA363" w14:textId="652EF976" w:rsidR="002010D4" w:rsidRDefault="002010D4" w:rsidP="003B4719"/>
    <w:p w14:paraId="5624FE4E" w14:textId="643CD964" w:rsidR="002010D4" w:rsidRDefault="002010D4">
      <w:pPr>
        <w:spacing w:after="160" w:line="259" w:lineRule="auto"/>
      </w:pPr>
      <w:r>
        <w:br w:type="page"/>
      </w:r>
    </w:p>
    <w:p w14:paraId="0D6CB01E" w14:textId="2E237178" w:rsidR="002010D4" w:rsidRDefault="0070652F" w:rsidP="0070652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E733D90" wp14:editId="7FD33BE1">
            <wp:extent cx="3963670" cy="2972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2" cy="29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C80F" w14:textId="77777777" w:rsidR="0070652F" w:rsidRDefault="0070652F" w:rsidP="0070652F">
      <w:pPr>
        <w:pStyle w:val="NoSpacing"/>
        <w:jc w:val="center"/>
      </w:pPr>
    </w:p>
    <w:p w14:paraId="3B6EA352" w14:textId="6C4B7EBB" w:rsidR="0070652F" w:rsidRDefault="0070652F" w:rsidP="0070652F">
      <w:pPr>
        <w:pStyle w:val="NoSpacing"/>
        <w:jc w:val="center"/>
      </w:pPr>
      <w:r>
        <w:t>Figure 5. Order of accuracy for Crank-Nicolson discretization</w:t>
      </w:r>
      <w:r w:rsidR="002914E9">
        <w:t xml:space="preserve"> at t = T</w:t>
      </w:r>
    </w:p>
    <w:p w14:paraId="2749C698" w14:textId="5B641B2B" w:rsidR="0006504D" w:rsidRDefault="0006504D" w:rsidP="0070652F">
      <w:pPr>
        <w:pStyle w:val="NoSpacing"/>
        <w:jc w:val="center"/>
      </w:pPr>
    </w:p>
    <w:p w14:paraId="7ABC125D" w14:textId="77777777" w:rsidR="00AB4CF8" w:rsidRDefault="00AB4CF8" w:rsidP="00AB4CF8"/>
    <w:p w14:paraId="2A7325B3" w14:textId="4A500BC9" w:rsidR="0006504D" w:rsidRPr="00A32177" w:rsidRDefault="00AB4CF8" w:rsidP="00AB4CF8">
      <w:r>
        <w:t xml:space="preserve">The implementation of this discretization </w:t>
      </w:r>
      <w:r w:rsidR="00E629C2">
        <w:t>appears to be correct based on the results</w:t>
      </w:r>
      <w:r w:rsidR="00D33F5F">
        <w:t xml:space="preserve">. </w:t>
      </w:r>
      <w:r w:rsidR="00F66E15">
        <w:t xml:space="preserve">It should be noted that </w:t>
      </w:r>
      <w:r w:rsidR="00A32177">
        <w:t xml:space="preserve">increasing the value of </w:t>
      </w:r>
      <w:r w:rsidR="00A32177">
        <w:rPr>
          <w:i/>
        </w:rPr>
        <w:t>k</w:t>
      </w:r>
      <w:r w:rsidR="00A32177">
        <w:t xml:space="preserve"> in the initial condition has a large effect on the error produced</w:t>
      </w:r>
      <w:r w:rsidR="004B36E0">
        <w:t xml:space="preserve">. In effect, </w:t>
      </w:r>
      <w:r w:rsidR="004B36E0">
        <w:rPr>
          <w:i/>
        </w:rPr>
        <w:t xml:space="preserve">k </w:t>
      </w:r>
      <w:r w:rsidR="004B36E0">
        <w:t>is a wave number</w:t>
      </w:r>
      <w:r w:rsidR="00322BF1">
        <w:t xml:space="preserve"> and increasing its value also makes the derivatives of the solution increase</w:t>
      </w:r>
      <w:r w:rsidR="00D557E8">
        <w:t>, particularly along the x axis.</w:t>
      </w:r>
      <w:r w:rsidR="00A32177">
        <w:t xml:space="preserve"> </w:t>
      </w:r>
      <w:r w:rsidR="002A7EF0">
        <w:t>This is also true for Part II.</w:t>
      </w:r>
    </w:p>
    <w:p w14:paraId="4BEBA6E5" w14:textId="2A6E7FA0" w:rsidR="00674AE8" w:rsidRDefault="00674AE8" w:rsidP="00AB4CF8"/>
    <w:p w14:paraId="6C22EE32" w14:textId="0DE73793" w:rsidR="00674AE8" w:rsidRDefault="00674AE8" w:rsidP="00674AE8">
      <w:pPr>
        <w:pStyle w:val="Heading1"/>
        <w:rPr>
          <w:rFonts w:eastAsiaTheme="minorEastAsia"/>
        </w:rPr>
      </w:pPr>
      <w:r>
        <w:rPr>
          <w:rFonts w:eastAsiaTheme="minorEastAsia"/>
        </w:rPr>
        <w:t>Part II</w:t>
      </w:r>
    </w:p>
    <w:p w14:paraId="7A4BCC94" w14:textId="48F44339" w:rsidR="00674AE8" w:rsidRDefault="00674AE8" w:rsidP="00674AE8"/>
    <w:p w14:paraId="135C8C65" w14:textId="77777777" w:rsidR="0099366E" w:rsidRDefault="00C476CD" w:rsidP="00674AE8">
      <w:r>
        <w:tab/>
        <w:t>The solution to part II differs primarily in the addition of a non-zero F(</w:t>
      </w:r>
      <w:proofErr w:type="spellStart"/>
      <w:proofErr w:type="gramStart"/>
      <w:r>
        <w:t>x,t</w:t>
      </w:r>
      <w:proofErr w:type="spellEnd"/>
      <w:proofErr w:type="gramEnd"/>
      <w:r>
        <w:t>) to the right side of the diffusion equation. There are also different boundary conditions</w:t>
      </w:r>
      <w:r w:rsidR="0099366E">
        <w:t xml:space="preserve"> and a different exact solution. The parameters used to initialize the method can be found in Table 2.</w:t>
      </w:r>
    </w:p>
    <w:p w14:paraId="149D4365" w14:textId="77777777" w:rsidR="0099366E" w:rsidRDefault="0099366E" w:rsidP="00674AE8"/>
    <w:p w14:paraId="3574101C" w14:textId="3B718C31" w:rsidR="0099366E" w:rsidRDefault="0099366E" w:rsidP="0099366E">
      <w:pPr>
        <w:pStyle w:val="NoSpacing"/>
      </w:pPr>
      <w:r>
        <w:t xml:space="preserve"> Table 2. Parameters used to initialize the Crank-Nicolson scheme for Part II</w:t>
      </w:r>
    </w:p>
    <w:p w14:paraId="0E1C124A" w14:textId="77777777" w:rsidR="0099366E" w:rsidRPr="00674AE8" w:rsidRDefault="0099366E" w:rsidP="0099366E">
      <w:pPr>
        <w:pStyle w:val="NoSpacing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366E" w14:paraId="5E926B07" w14:textId="77777777" w:rsidTr="00657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09AC588" w14:textId="77777777" w:rsidR="0099366E" w:rsidRDefault="0099366E" w:rsidP="006F0962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L=π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0C98D790" w14:textId="63EBE423" w:rsidR="0099366E" w:rsidRPr="00340724" w:rsidRDefault="00C74E86" w:rsidP="006F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(t)=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sin⁡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(ωt)</m:t>
                </m:r>
              </m:oMath>
            </m:oMathPara>
          </w:p>
        </w:tc>
      </w:tr>
      <w:tr w:rsidR="0099366E" w14:paraId="5B7F6FD9" w14:textId="77777777" w:rsidTr="0065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220E2D4" w14:textId="77777777" w:rsidR="0099366E" w:rsidRDefault="0099366E" w:rsidP="006F0962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D=0.1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32AABF73" w14:textId="79712060" w:rsidR="0099366E" w:rsidRDefault="00C74E86" w:rsidP="006F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(t)=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(kL)</m:t>
                </m:r>
              </m:oMath>
            </m:oMathPara>
          </w:p>
        </w:tc>
      </w:tr>
      <w:tr w:rsidR="0099366E" w14:paraId="063F5EF7" w14:textId="77777777" w:rsidTr="0065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2F2C634" w14:textId="77777777" w:rsidR="0099366E" w:rsidRDefault="0099366E" w:rsidP="006F0962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T=10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76AA81B8" w14:textId="2AFCD963" w:rsidR="0099366E" w:rsidRDefault="0099366E" w:rsidP="006F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99366E" w14:paraId="6D26C77E" w14:textId="77777777" w:rsidTr="0065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82AEB98" w14:textId="29F0C81E" w:rsidR="0099366E" w:rsidRPr="00E47378" w:rsidRDefault="0099366E" w:rsidP="006F0962">
            <w:pPr>
              <w:rPr>
                <w:rFonts w:eastAsiaTheme="minor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F(x,t)=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Cs w:val="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(kx)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319CF319" w14:textId="1F71198C" w:rsidR="0099366E" w:rsidRDefault="0099366E" w:rsidP="006F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k=1</m:t>
                </m:r>
              </m:oMath>
            </m:oMathPara>
          </w:p>
        </w:tc>
      </w:tr>
      <w:tr w:rsidR="002D32FE" w14:paraId="01559348" w14:textId="77777777" w:rsidTr="0065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D3BA652" w14:textId="1C9F4738" w:rsidR="002D32FE" w:rsidRPr="002D32FE" w:rsidRDefault="002D32FE" w:rsidP="006F0962">
            <w:pPr>
              <w:rPr>
                <w:rFonts w:ascii="Cambria Math" w:eastAsia="Times New Roman" w:hAnsi="Cambria Math" w:cs="Times New Roman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ω=0.1 (initially)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1468536F" w14:textId="77777777" w:rsidR="002D32FE" w:rsidRDefault="002D32FE" w:rsidP="006F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</w:tbl>
    <w:p w14:paraId="5DC3CC7A" w14:textId="6F034814" w:rsidR="00674AE8" w:rsidRDefault="00674AE8" w:rsidP="00674AE8"/>
    <w:p w14:paraId="6BF11555" w14:textId="2FDBC9F2" w:rsidR="003470B1" w:rsidRDefault="003470B1" w:rsidP="00674AE8">
      <w:r>
        <w:t>In this case, the exact solution is</w:t>
      </w:r>
    </w:p>
    <w:p w14:paraId="1DDF0C6D" w14:textId="77777777" w:rsidR="00487C5F" w:rsidRDefault="00487C5F" w:rsidP="00674AE8"/>
    <w:p w14:paraId="3179CD18" w14:textId="40CD66E6" w:rsidR="003470B1" w:rsidRDefault="00953BE7" w:rsidP="00674AE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(kx)</m:t>
          </m:r>
        </m:oMath>
      </m:oMathPara>
    </w:p>
    <w:p w14:paraId="03506AB6" w14:textId="77777777" w:rsidR="003470B1" w:rsidRDefault="003470B1" w:rsidP="00674AE8"/>
    <w:p w14:paraId="7474B9DE" w14:textId="77777777" w:rsidR="003470B1" w:rsidRDefault="003470B1" w:rsidP="00674AE8"/>
    <w:p w14:paraId="51B6DB2E" w14:textId="77777777" w:rsidR="003470B1" w:rsidRDefault="003470B1" w:rsidP="00674AE8"/>
    <w:p w14:paraId="63432C44" w14:textId="683844DE" w:rsidR="00052047" w:rsidRDefault="00052047" w:rsidP="00674AE8">
      <w:r>
        <w:lastRenderedPageBreak/>
        <w:t xml:space="preserve">Grid convergence again occurred without issue </w:t>
      </w:r>
      <w:r w:rsidR="00BA22C1">
        <w:t>except for</w:t>
      </w:r>
      <w:r>
        <w:t xml:space="preserve"> one large caveat</w:t>
      </w:r>
      <w:r w:rsidR="00D819CF">
        <w:t xml:space="preserve"> – ω must be kept small </w:t>
      </w:r>
      <w:r w:rsidR="00772DE6">
        <w:t>to</w:t>
      </w:r>
      <w:r w:rsidR="00D819CF">
        <w:t xml:space="preserve"> keep the error </w:t>
      </w:r>
      <w:r w:rsidR="003D29AE">
        <w:t>manageable</w:t>
      </w:r>
      <w:r w:rsidR="00ED101D">
        <w:t xml:space="preserve">. Figure 6 offers a </w:t>
      </w:r>
      <w:r w:rsidR="00772DE6">
        <w:t xml:space="preserve">quick visual comparison </w:t>
      </w:r>
      <w:r w:rsidR="003D29AE">
        <w:t>of the exact solution and the one produced by the Crank-Nicolson discretization</w:t>
      </w:r>
    </w:p>
    <w:p w14:paraId="01CC9765" w14:textId="20D8C0AE" w:rsidR="00772DE6" w:rsidRDefault="00772DE6" w:rsidP="00674AE8"/>
    <w:p w14:paraId="36649587" w14:textId="3D0B676B" w:rsidR="00772DE6" w:rsidRDefault="00772DE6">
      <w:pPr>
        <w:spacing w:after="160" w:line="259" w:lineRule="auto"/>
      </w:pPr>
    </w:p>
    <w:p w14:paraId="7D6A9BB5" w14:textId="20DBB058" w:rsidR="00772DE6" w:rsidRDefault="0042077D" w:rsidP="00674AE8">
      <w:r>
        <w:rPr>
          <w:noProof/>
        </w:rPr>
        <w:drawing>
          <wp:inline distT="0" distB="0" distL="0" distR="0" wp14:anchorId="43FC88C0" wp14:editId="3F05BC80">
            <wp:extent cx="2744470" cy="20583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6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96" cy="20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4D787" wp14:editId="4B94A71C">
            <wp:extent cx="2719070" cy="203930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6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719" cy="20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EB46" w14:textId="77E59886" w:rsidR="0042077D" w:rsidRDefault="00C46682" w:rsidP="00C46682">
      <w:pPr>
        <w:pStyle w:val="NoSpacing"/>
        <w:jc w:val="center"/>
      </w:pPr>
      <w:r>
        <w:t>Figure 6. Comparison of Exact Solution and Crank-Nicolson Scheme for (a) N = 5 (b) N = 10</w:t>
      </w:r>
    </w:p>
    <w:p w14:paraId="3E193282" w14:textId="67B3795E" w:rsidR="00263FEC" w:rsidRDefault="00263FEC" w:rsidP="00C46682">
      <w:pPr>
        <w:pStyle w:val="NoSpacing"/>
        <w:jc w:val="center"/>
      </w:pPr>
    </w:p>
    <w:p w14:paraId="38123E44" w14:textId="77777777" w:rsidR="002253F4" w:rsidRDefault="002253F4" w:rsidP="00263FEC"/>
    <w:p w14:paraId="6B440AAD" w14:textId="4A21FFDB" w:rsidR="00263FEC" w:rsidRDefault="00263FEC" w:rsidP="00263FEC">
      <w:r>
        <w:t>An example of grid convergence at t = T can be found in Figure 7.</w:t>
      </w:r>
      <w:r w:rsidR="00E619CE">
        <w:t xml:space="preserve"> </w:t>
      </w:r>
      <w:r w:rsidR="00E30EA3">
        <w:rPr>
          <w:rFonts w:eastAsiaTheme="minorEastAsia"/>
        </w:rPr>
        <w:t>Several other comparisons between the exact solution and the one provided by the Crank-Nicolson discretization can be found in Figure 8 and Figure 9.</w:t>
      </w:r>
    </w:p>
    <w:p w14:paraId="1F45A876" w14:textId="4E5C816C" w:rsidR="002253F4" w:rsidRDefault="002253F4" w:rsidP="00263FEC"/>
    <w:p w14:paraId="4DDDDBCF" w14:textId="672F16E2" w:rsidR="002253F4" w:rsidRDefault="002253F4" w:rsidP="00C54320">
      <w:pPr>
        <w:pStyle w:val="NoSpacing"/>
        <w:jc w:val="center"/>
      </w:pPr>
      <w:r>
        <w:rPr>
          <w:noProof/>
        </w:rPr>
        <w:drawing>
          <wp:inline distT="0" distB="0" distL="0" distR="0" wp14:anchorId="7913A630" wp14:editId="227A3FE3">
            <wp:extent cx="3989070" cy="29918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40" cy="30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C84D" w14:textId="1E49F08A" w:rsidR="00C54320" w:rsidRDefault="00C54320" w:rsidP="00C54320">
      <w:pPr>
        <w:pStyle w:val="NoSpacing"/>
      </w:pPr>
    </w:p>
    <w:p w14:paraId="159DAB50" w14:textId="26B08CE4" w:rsidR="00C54320" w:rsidRDefault="00C54320" w:rsidP="00C54320">
      <w:pPr>
        <w:pStyle w:val="NoSpacing"/>
        <w:jc w:val="center"/>
      </w:pPr>
      <w:r>
        <w:t>Figure 7. Grid Convergence of Crank-Nicolson Scheme at t = T</w:t>
      </w:r>
    </w:p>
    <w:p w14:paraId="65AA252E" w14:textId="4B613E89" w:rsidR="00263FEC" w:rsidRDefault="00263FEC" w:rsidP="00263FEC"/>
    <w:p w14:paraId="6CA8EC07" w14:textId="17E4BB7D" w:rsidR="00662C09" w:rsidRDefault="00662C09">
      <w:pPr>
        <w:spacing w:after="160" w:line="259" w:lineRule="auto"/>
      </w:pPr>
      <w:r>
        <w:br w:type="page"/>
      </w:r>
    </w:p>
    <w:p w14:paraId="3CF9642E" w14:textId="297143B7" w:rsidR="00263FEC" w:rsidRDefault="00D762BF" w:rsidP="00D762B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09E29E0" wp14:editId="15C164A1">
            <wp:extent cx="3944622" cy="29584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91" cy="29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795A" w14:textId="77777777" w:rsidR="00D762BF" w:rsidRDefault="00D762BF" w:rsidP="00D762BF">
      <w:pPr>
        <w:pStyle w:val="NoSpacing"/>
        <w:jc w:val="center"/>
      </w:pPr>
    </w:p>
    <w:p w14:paraId="1B7030FD" w14:textId="131F628A" w:rsidR="00D762BF" w:rsidRDefault="00D762BF" w:rsidP="00D762BF">
      <w:pPr>
        <w:pStyle w:val="NoSpacing"/>
        <w:jc w:val="center"/>
      </w:pPr>
      <w:r>
        <w:t>Figure 8. Comparison between exact solution and Crank-Nicolson implementation for t = 1.11 and N = 8</w:t>
      </w:r>
    </w:p>
    <w:p w14:paraId="361410E4" w14:textId="3AD8BC9E" w:rsidR="00D762BF" w:rsidRDefault="00D762BF" w:rsidP="00D762BF"/>
    <w:p w14:paraId="27C8BF4F" w14:textId="5B5FFF3B" w:rsidR="00D762BF" w:rsidRDefault="00D762BF" w:rsidP="00D762BF"/>
    <w:p w14:paraId="1A242D20" w14:textId="476B8B67" w:rsidR="006A7D92" w:rsidRDefault="00D762BF" w:rsidP="006A7D92">
      <w:pPr>
        <w:pStyle w:val="NoSpacing"/>
        <w:jc w:val="center"/>
      </w:pPr>
      <w:r>
        <w:rPr>
          <w:noProof/>
        </w:rPr>
        <w:drawing>
          <wp:inline distT="0" distB="0" distL="0" distR="0" wp14:anchorId="039CCB5E" wp14:editId="4774F983">
            <wp:extent cx="3938694" cy="295402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16" cy="29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F74" w14:textId="2C1A1E01" w:rsidR="006A7D92" w:rsidRDefault="006A7D92" w:rsidP="006A7D92">
      <w:pPr>
        <w:pStyle w:val="NoSpacing"/>
      </w:pPr>
    </w:p>
    <w:p w14:paraId="69F801DE" w14:textId="1AEBA153" w:rsidR="006A7D92" w:rsidRDefault="006A7D92" w:rsidP="006A7D92">
      <w:pPr>
        <w:pStyle w:val="NoSpacing"/>
        <w:jc w:val="center"/>
      </w:pPr>
      <w:r>
        <w:t>Figure 9. Comparison between exact solution and Crank-Nicolson implementation for t = 4.44and N = 8</w:t>
      </w:r>
    </w:p>
    <w:p w14:paraId="00FDE921" w14:textId="37AFAFCC" w:rsidR="006A7D92" w:rsidRDefault="006A7D92" w:rsidP="006A7D92">
      <w:pPr>
        <w:pStyle w:val="NoSpacing"/>
      </w:pPr>
    </w:p>
    <w:p w14:paraId="21BA8404" w14:textId="77777777" w:rsidR="007B079C" w:rsidRDefault="007B079C" w:rsidP="006A7D92"/>
    <w:p w14:paraId="185740E7" w14:textId="77777777" w:rsidR="007B079C" w:rsidRDefault="007B079C">
      <w:pPr>
        <w:spacing w:after="160" w:line="259" w:lineRule="auto"/>
      </w:pPr>
      <w:r>
        <w:br w:type="page"/>
      </w:r>
    </w:p>
    <w:p w14:paraId="226C6860" w14:textId="6661AFAA" w:rsidR="00D762BF" w:rsidRDefault="006A7D92" w:rsidP="006A7D92">
      <w:r>
        <w:lastRenderedPageBreak/>
        <w:t>A graphic depiction of the order of accuracy can be found in Figure 10</w:t>
      </w:r>
      <w:r w:rsidR="007B079C">
        <w:t>, analogous to Figure 5.</w:t>
      </w:r>
    </w:p>
    <w:p w14:paraId="4C9CED1D" w14:textId="3B416201" w:rsidR="007B079C" w:rsidRDefault="007B079C" w:rsidP="006A7D92"/>
    <w:p w14:paraId="56598C7D" w14:textId="446F863B" w:rsidR="007B079C" w:rsidRDefault="007B079C" w:rsidP="006A7D92"/>
    <w:p w14:paraId="057D51B7" w14:textId="6592AE84" w:rsidR="007B079C" w:rsidRDefault="00934A62" w:rsidP="00934A62">
      <w:pPr>
        <w:jc w:val="center"/>
      </w:pPr>
      <w:r>
        <w:rPr>
          <w:noProof/>
        </w:rPr>
        <w:drawing>
          <wp:inline distT="0" distB="0" distL="0" distR="0" wp14:anchorId="77A1A358" wp14:editId="283EA792">
            <wp:extent cx="3874770" cy="290607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016" cy="293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E820" w14:textId="2CFEFC3A" w:rsidR="006060E7" w:rsidRDefault="006060E7" w:rsidP="00934A62">
      <w:pPr>
        <w:jc w:val="center"/>
      </w:pPr>
    </w:p>
    <w:p w14:paraId="4D1F066D" w14:textId="20AA89CF" w:rsidR="006060E7" w:rsidRDefault="0035325A" w:rsidP="006060E7">
      <w:r>
        <w:t xml:space="preserve">Somehow it appears that second order accuracy has not persisted into part II. </w:t>
      </w:r>
      <w:r w:rsidR="001176C4">
        <w:t>While we are not exactly sure what has caused this</w:t>
      </w:r>
      <w:r w:rsidR="001063BD">
        <w:t>, an initial guess is that it has something to do with the source term F(</w:t>
      </w:r>
      <w:proofErr w:type="spellStart"/>
      <w:proofErr w:type="gramStart"/>
      <w:r w:rsidR="001063BD">
        <w:t>x,t</w:t>
      </w:r>
      <w:proofErr w:type="spellEnd"/>
      <w:proofErr w:type="gramEnd"/>
      <w:r w:rsidR="001063BD">
        <w:t>) on the right side of the equation</w:t>
      </w:r>
      <w:r w:rsidR="00AD30BB">
        <w:t>.</w:t>
      </w:r>
      <w:r w:rsidR="00590D63">
        <w:t xml:space="preserve"> Anecdotally, it appears that part II depends on a </w:t>
      </w:r>
      <w:proofErr w:type="gramStart"/>
      <w:r w:rsidR="00590D63">
        <w:t>small time</w:t>
      </w:r>
      <w:proofErr w:type="gramEnd"/>
      <w:r w:rsidR="00590D63">
        <w:t xml:space="preserve"> step in order to </w:t>
      </w:r>
      <w:r w:rsidR="00C17935">
        <w:t>maintain the error.</w:t>
      </w:r>
      <w:r w:rsidR="00800D88">
        <w:t xml:space="preserve"> </w:t>
      </w:r>
      <w:r w:rsidR="004160AE">
        <w:t>While the Crank-Nicolson method is unconditionally stable</w:t>
      </w:r>
      <w:r w:rsidR="00EF6CC8">
        <w:t xml:space="preserve">, that does not mean that one should choose a coarse </w:t>
      </w:r>
      <w:proofErr w:type="gramStart"/>
      <w:r w:rsidR="00EF6CC8">
        <w:t>discretization</w:t>
      </w:r>
      <w:proofErr w:type="gramEnd"/>
      <w:r w:rsidR="00050247">
        <w:t xml:space="preserve"> nor should one ignore parameters that increase the derivatives of the solution. The solution may never “blow up”, however there is no guarantee </w:t>
      </w:r>
      <w:r w:rsidR="00460D27">
        <w:t xml:space="preserve">of accuracy. </w:t>
      </w:r>
      <w:r w:rsidR="00050247">
        <w:t xml:space="preserve"> </w:t>
      </w:r>
    </w:p>
    <w:p w14:paraId="7177A8BA" w14:textId="77777777" w:rsidR="00CF5FE7" w:rsidRPr="00674AE8" w:rsidRDefault="00CF5FE7" w:rsidP="006060E7"/>
    <w:sectPr w:rsidR="00CF5FE7" w:rsidRPr="00674AE8" w:rsidSect="00BB6392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3F85A" w14:textId="77777777" w:rsidR="003562FA" w:rsidRDefault="003562FA" w:rsidP="00037D3E">
      <w:r>
        <w:separator/>
      </w:r>
    </w:p>
  </w:endnote>
  <w:endnote w:type="continuationSeparator" w:id="0">
    <w:p w14:paraId="6DC52F5E" w14:textId="77777777" w:rsidR="003562FA" w:rsidRDefault="003562FA" w:rsidP="0003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EFB96" w14:textId="77777777" w:rsidR="003562FA" w:rsidRDefault="003562FA" w:rsidP="00037D3E">
      <w:r>
        <w:separator/>
      </w:r>
    </w:p>
  </w:footnote>
  <w:footnote w:type="continuationSeparator" w:id="0">
    <w:p w14:paraId="755C7765" w14:textId="77777777" w:rsidR="003562FA" w:rsidRDefault="003562FA" w:rsidP="00037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B957" w14:textId="6E3E5494" w:rsidR="00037D3E" w:rsidRDefault="00037D3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color w:val="4472C4" w:themeColor="accent1"/>
      </w:rPr>
      <w:t xml:space="preserve">  </w:t>
    </w:r>
    <w:sdt>
      <w:sdtPr>
        <w:rPr>
          <w:color w:val="4472C4" w:themeColor="accent1"/>
        </w:rPr>
        <w:alias w:val="Author"/>
        <w:tag w:val=""/>
        <w:id w:val="-631863980"/>
        <w:placeholder>
          <w:docPart w:val="EDB1738104754522B9F5C0423026573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4472C4" w:themeColor="accent1"/>
          </w:rPr>
          <w:t>David Newman | PeopleSoft ID 1441532</w:t>
        </w:r>
      </w:sdtContent>
    </w:sdt>
  </w:p>
  <w:p w14:paraId="63A708C8" w14:textId="77777777" w:rsidR="00037D3E" w:rsidRDefault="00037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2A"/>
    <w:rsid w:val="00002989"/>
    <w:rsid w:val="00010070"/>
    <w:rsid w:val="000154D9"/>
    <w:rsid w:val="0002385D"/>
    <w:rsid w:val="00032EF3"/>
    <w:rsid w:val="00037D3E"/>
    <w:rsid w:val="00050247"/>
    <w:rsid w:val="00052047"/>
    <w:rsid w:val="0006504D"/>
    <w:rsid w:val="00077820"/>
    <w:rsid w:val="00096D69"/>
    <w:rsid w:val="001063BD"/>
    <w:rsid w:val="001176C4"/>
    <w:rsid w:val="001377F8"/>
    <w:rsid w:val="001635C1"/>
    <w:rsid w:val="00197FCE"/>
    <w:rsid w:val="001B2444"/>
    <w:rsid w:val="001C2D2A"/>
    <w:rsid w:val="002010D4"/>
    <w:rsid w:val="002253F4"/>
    <w:rsid w:val="00252197"/>
    <w:rsid w:val="0025306E"/>
    <w:rsid w:val="002538E7"/>
    <w:rsid w:val="00263FEC"/>
    <w:rsid w:val="002914E9"/>
    <w:rsid w:val="002A7EF0"/>
    <w:rsid w:val="002D32FE"/>
    <w:rsid w:val="003149DF"/>
    <w:rsid w:val="00322BF1"/>
    <w:rsid w:val="003343B6"/>
    <w:rsid w:val="00340724"/>
    <w:rsid w:val="00342D48"/>
    <w:rsid w:val="003470B1"/>
    <w:rsid w:val="00347F12"/>
    <w:rsid w:val="0035325A"/>
    <w:rsid w:val="003562FA"/>
    <w:rsid w:val="003B4719"/>
    <w:rsid w:val="003C0AE7"/>
    <w:rsid w:val="003D29AE"/>
    <w:rsid w:val="003E7416"/>
    <w:rsid w:val="004160AE"/>
    <w:rsid w:val="0042077D"/>
    <w:rsid w:val="00460D27"/>
    <w:rsid w:val="00471227"/>
    <w:rsid w:val="00487C5F"/>
    <w:rsid w:val="004B36E0"/>
    <w:rsid w:val="00531180"/>
    <w:rsid w:val="0054377C"/>
    <w:rsid w:val="0058082A"/>
    <w:rsid w:val="00590D63"/>
    <w:rsid w:val="005C2CDA"/>
    <w:rsid w:val="005F053E"/>
    <w:rsid w:val="006060E7"/>
    <w:rsid w:val="00606FC9"/>
    <w:rsid w:val="006566EC"/>
    <w:rsid w:val="006570FE"/>
    <w:rsid w:val="00662C09"/>
    <w:rsid w:val="00674AE8"/>
    <w:rsid w:val="006A7D92"/>
    <w:rsid w:val="006E7C8A"/>
    <w:rsid w:val="0070652F"/>
    <w:rsid w:val="00765BE5"/>
    <w:rsid w:val="00767772"/>
    <w:rsid w:val="00772DE6"/>
    <w:rsid w:val="007B079C"/>
    <w:rsid w:val="00800D88"/>
    <w:rsid w:val="00813FC7"/>
    <w:rsid w:val="008B07B3"/>
    <w:rsid w:val="008D3ADD"/>
    <w:rsid w:val="00934A62"/>
    <w:rsid w:val="00953BE7"/>
    <w:rsid w:val="00962671"/>
    <w:rsid w:val="009853EB"/>
    <w:rsid w:val="0099366E"/>
    <w:rsid w:val="009F0CA8"/>
    <w:rsid w:val="009F5A2A"/>
    <w:rsid w:val="009F7A29"/>
    <w:rsid w:val="00A25D2D"/>
    <w:rsid w:val="00A32177"/>
    <w:rsid w:val="00A52EBF"/>
    <w:rsid w:val="00A61F06"/>
    <w:rsid w:val="00A94154"/>
    <w:rsid w:val="00A9604A"/>
    <w:rsid w:val="00AB4CF8"/>
    <w:rsid w:val="00AC51EC"/>
    <w:rsid w:val="00AD30BB"/>
    <w:rsid w:val="00AE7A79"/>
    <w:rsid w:val="00B60CF5"/>
    <w:rsid w:val="00BA22C1"/>
    <w:rsid w:val="00BA24CB"/>
    <w:rsid w:val="00BB6392"/>
    <w:rsid w:val="00BE75F6"/>
    <w:rsid w:val="00BF6BDB"/>
    <w:rsid w:val="00C17935"/>
    <w:rsid w:val="00C46682"/>
    <w:rsid w:val="00C476CD"/>
    <w:rsid w:val="00C54320"/>
    <w:rsid w:val="00C66575"/>
    <w:rsid w:val="00C74E86"/>
    <w:rsid w:val="00C76625"/>
    <w:rsid w:val="00C974B2"/>
    <w:rsid w:val="00CD63FA"/>
    <w:rsid w:val="00CE1400"/>
    <w:rsid w:val="00CF5FE7"/>
    <w:rsid w:val="00D33F5F"/>
    <w:rsid w:val="00D45C35"/>
    <w:rsid w:val="00D52A4E"/>
    <w:rsid w:val="00D557E8"/>
    <w:rsid w:val="00D762BF"/>
    <w:rsid w:val="00D819CF"/>
    <w:rsid w:val="00DC44E6"/>
    <w:rsid w:val="00DD51AA"/>
    <w:rsid w:val="00E30EA3"/>
    <w:rsid w:val="00E47378"/>
    <w:rsid w:val="00E619CE"/>
    <w:rsid w:val="00E629C2"/>
    <w:rsid w:val="00E761FC"/>
    <w:rsid w:val="00EA08A0"/>
    <w:rsid w:val="00EA3362"/>
    <w:rsid w:val="00ED101D"/>
    <w:rsid w:val="00EF6CC8"/>
    <w:rsid w:val="00F66E15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B03A"/>
  <w15:chartTrackingRefBased/>
  <w15:docId w15:val="{A3B7DA4C-4638-4C53-8A9D-7D6D4B7A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C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gure/Table Label"/>
    <w:uiPriority w:val="1"/>
    <w:qFormat/>
    <w:rsid w:val="00A9604A"/>
    <w:pPr>
      <w:spacing w:after="0" w:line="240" w:lineRule="auto"/>
    </w:pPr>
    <w:rPr>
      <w:rFonts w:ascii="Times New Roman" w:hAnsi="Times New Roman"/>
      <w:b/>
      <w:sz w:val="16"/>
    </w:rPr>
  </w:style>
  <w:style w:type="paragraph" w:styleId="Header">
    <w:name w:val="header"/>
    <w:basedOn w:val="Normal"/>
    <w:link w:val="HeaderChar"/>
    <w:uiPriority w:val="99"/>
    <w:unhideWhenUsed/>
    <w:rsid w:val="0003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3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3E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A08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E7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761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4E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B1738104754522B9F5C04230265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868DE-B9A2-4E94-A203-F1E6B3333503}"/>
      </w:docPartPr>
      <w:docPartBody>
        <w:p w:rsidR="0037328E" w:rsidRDefault="002D3AB9" w:rsidP="002D3AB9">
          <w:pPr>
            <w:pStyle w:val="EDB1738104754522B9F5C0423026573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B9"/>
    <w:rsid w:val="002D3AB9"/>
    <w:rsid w:val="0037328E"/>
    <w:rsid w:val="00A3021F"/>
    <w:rsid w:val="00B6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1FD7F385A4ECFA4CA753EF8141BCA">
    <w:name w:val="3811FD7F385A4ECFA4CA753EF8141BCA"/>
    <w:rsid w:val="002D3AB9"/>
  </w:style>
  <w:style w:type="paragraph" w:customStyle="1" w:styleId="C4DF8C9BE6584692B7B5EECCAD4E410D">
    <w:name w:val="C4DF8C9BE6584692B7B5EECCAD4E410D"/>
    <w:rsid w:val="002D3AB9"/>
  </w:style>
  <w:style w:type="paragraph" w:customStyle="1" w:styleId="EDB1738104754522B9F5C04230265734">
    <w:name w:val="EDB1738104754522B9F5C04230265734"/>
    <w:rsid w:val="002D3AB9"/>
  </w:style>
  <w:style w:type="character" w:styleId="PlaceholderText">
    <w:name w:val="Placeholder Text"/>
    <w:basedOn w:val="DefaultParagraphFont"/>
    <w:uiPriority w:val="99"/>
    <w:semiHidden/>
    <w:rsid w:val="00A302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Newman | PeopleSoft ID 1441532</dc:creator>
  <cp:keywords/>
  <dc:description/>
  <cp:lastModifiedBy>David Newman</cp:lastModifiedBy>
  <cp:revision>121</cp:revision>
  <cp:lastPrinted>2018-04-04T07:22:00Z</cp:lastPrinted>
  <dcterms:created xsi:type="dcterms:W3CDTF">2018-04-03T06:51:00Z</dcterms:created>
  <dcterms:modified xsi:type="dcterms:W3CDTF">2018-04-04T07:23:00Z</dcterms:modified>
</cp:coreProperties>
</file>