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Silas Toms. ArcPy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Paul A Zandenbergen.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(Optional)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150FF3" w:rsidP="000727D8">
      <w:pPr>
        <w:pStyle w:val="Default"/>
        <w:jc w:val="both"/>
        <w:rPr>
          <w:rFonts w:asciiTheme="minorHAnsi" w:hAnsiTheme="minorHAnsi"/>
          <w:b/>
        </w:rPr>
      </w:pPr>
      <w:hyperlink r:id="rId9"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0A68D7">
        <w:rPr>
          <w:rFonts w:asciiTheme="minorHAnsi" w:hAnsiTheme="minorHAnsi"/>
        </w:rPr>
        <w:t>Project 1 prior to it’s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Working with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Working with Rasters</w:t>
            </w:r>
            <w:r w:rsidR="00064AEF">
              <w:rPr>
                <w:b/>
                <w:sz w:val="22"/>
                <w:szCs w:val="22"/>
              </w:rPr>
              <w:t xml:space="preserve"> (Chapter 9 of Zandbergen)</w:t>
            </w:r>
          </w:p>
          <w:p w:rsidR="007617A0" w:rsidRDefault="00712130" w:rsidP="00746556">
            <w:pPr>
              <w:rPr>
                <w:b/>
              </w:rPr>
            </w:pPr>
            <w:r>
              <w:rPr>
                <w:b/>
                <w:sz w:val="22"/>
                <w:szCs w:val="22"/>
              </w:rPr>
              <w:t>Raster Analysis with Numpy</w:t>
            </w:r>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Field Calculator and DataTime</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bookmarkStart w:id="0" w:name="_GoBack"/>
            <w:bookmarkEnd w:id="0"/>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r w:rsidRPr="007617A0">
              <w:rPr>
                <w:b/>
                <w:sz w:val="22"/>
                <w:szCs w:val="22"/>
              </w:rPr>
              <w:t>Arcpy.Mapping</w:t>
            </w:r>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Arcpy.Mapping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r>
              <w:rPr>
                <w:b/>
                <w:sz w:val="22"/>
                <w:szCs w:val="22"/>
              </w:rPr>
              <w:t>Scipy?</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classmates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2"/>
      <w:footerReference w:type="default" r:id="rId1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FF3" w:rsidRDefault="00150FF3" w:rsidP="00F432DD">
      <w:r>
        <w:separator/>
      </w:r>
    </w:p>
  </w:endnote>
  <w:endnote w:type="continuationSeparator" w:id="0">
    <w:p w:rsidR="00150FF3" w:rsidRDefault="00150FF3"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FF3" w:rsidRDefault="00150FF3" w:rsidP="00F432DD">
      <w:r>
        <w:separator/>
      </w:r>
    </w:p>
  </w:footnote>
  <w:footnote w:type="continuationSeparator" w:id="0">
    <w:p w:rsidR="00150FF3" w:rsidRDefault="00150FF3"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8345C9">
          <w:rPr>
            <w:noProof/>
            <w:sz w:val="20"/>
            <w:szCs w:val="20"/>
          </w:rPr>
          <w:t>2</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C700B"/>
    <w:rsid w:val="006E2B7A"/>
    <w:rsid w:val="00712130"/>
    <w:rsid w:val="007328E6"/>
    <w:rsid w:val="00742EB0"/>
    <w:rsid w:val="00746556"/>
    <w:rsid w:val="007617A0"/>
    <w:rsid w:val="00791CF1"/>
    <w:rsid w:val="007A1AC4"/>
    <w:rsid w:val="007A5A15"/>
    <w:rsid w:val="007A6255"/>
    <w:rsid w:val="007C3A59"/>
    <w:rsid w:val="007C6A1E"/>
    <w:rsid w:val="007C7C7E"/>
    <w:rsid w:val="007D6C65"/>
    <w:rsid w:val="007E2402"/>
    <w:rsid w:val="00816EC2"/>
    <w:rsid w:val="008345C9"/>
    <w:rsid w:val="00837B48"/>
    <w:rsid w:val="00850A82"/>
    <w:rsid w:val="008541D4"/>
    <w:rsid w:val="008770A6"/>
    <w:rsid w:val="00880A11"/>
    <w:rsid w:val="0089485B"/>
    <w:rsid w:val="008B3344"/>
    <w:rsid w:val="008B483E"/>
    <w:rsid w:val="008C2492"/>
    <w:rsid w:val="00906C33"/>
    <w:rsid w:val="00913212"/>
    <w:rsid w:val="0096204F"/>
    <w:rsid w:val="0096596B"/>
    <w:rsid w:val="009728C5"/>
    <w:rsid w:val="009A4482"/>
    <w:rsid w:val="009B6018"/>
    <w:rsid w:val="009C104A"/>
    <w:rsid w:val="00A05585"/>
    <w:rsid w:val="00A16CD4"/>
    <w:rsid w:val="00B02D0D"/>
    <w:rsid w:val="00B13A9D"/>
    <w:rsid w:val="00B64CA6"/>
    <w:rsid w:val="00B83F0F"/>
    <w:rsid w:val="00B9123B"/>
    <w:rsid w:val="00C14AD9"/>
    <w:rsid w:val="00C42938"/>
    <w:rsid w:val="00CA6FBD"/>
    <w:rsid w:val="00CC28A6"/>
    <w:rsid w:val="00CC424B"/>
    <w:rsid w:val="00CF3668"/>
    <w:rsid w:val="00D141B3"/>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68D8-F36D-4677-B87C-565290F9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69</cp:revision>
  <cp:lastPrinted>2015-08-24T02:16:00Z</cp:lastPrinted>
  <dcterms:created xsi:type="dcterms:W3CDTF">2014-04-25T13:53:00Z</dcterms:created>
  <dcterms:modified xsi:type="dcterms:W3CDTF">2016-12-29T22:24:00Z</dcterms:modified>
</cp:coreProperties>
</file>