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/>
          <w:sz w:val="36"/>
        </w:rPr>
        <w:t>LongEdit E2B legacy DOC conversion fixture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 w:val="false"/>
          <w:sz w:val="22"/>
        </w:rPr>
        <w:t>Project-authored plain content for isolated conversion verification.</w:t>
      </w:r>
    </w:p>
    <w:p>
      <w:pPr>
        <w:pStyle w:val="Normal"/>
        <w:bidi w:val="0"/>
        <w:jc w:val="start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 w:val="false"/>
          <w:sz w:val="22"/>
        </w:rPr>
        <w:t>Source preservation is checked before and after conversion.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alibri"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