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40"/>
        <w:jc w:val="center"/>
      </w:pPr>
      <w:r>
        <w:rPr>
          <w:rFonts w:ascii="Arial" w:cs="Arial" w:eastAsia="Arial" w:hAnsi="Arial"/>
          <w:b/>
          <w:bCs/>
          <w:color w:val="2E74B5"/>
          <w:sz w:val="28"/>
          <w:szCs w:val="28"/>
        </w:rPr>
        <w:t xml:space="preserve">RESEARCH PAPER</w:t>
      </w:r>
    </w:p>
    <w:p>
      <w:pPr>
        <w:spacing w:before="0" w:after="180"/>
        <w:jc w:val="center"/>
      </w:pPr>
      <w:r>
        <w:rPr>
          <w:rFonts w:ascii="Arial" w:cs="Arial" w:eastAsia="Arial" w:hAnsi="Arial"/>
          <w:b/>
          <w:bCs/>
          <w:color w:val="1F3864"/>
          <w:sz w:val="44"/>
          <w:szCs w:val="44"/>
        </w:rPr>
        <w:t xml:space="preserve">Unit Economics of AI-Powered Applications:</w:t>
      </w:r>
    </w:p>
    <w:p>
      <w:pPr>
        <w:spacing w:before="0" w:after="400"/>
        <w:jc w:val="center"/>
      </w:pPr>
      <w:r>
        <w:rPr>
          <w:rFonts w:ascii="Arial" w:cs="Arial" w:eastAsia="Arial" w:hAnsi="Arial"/>
          <w:b/>
          <w:bCs/>
          <w:color w:val="1F3864"/>
          <w:sz w:val="36"/>
          <w:szCs w:val="36"/>
        </w:rPr>
        <w:t xml:space="preserve">Performance Optimization, Cost Reduction, and Profitability Architecture in 2026</w:t>
      </w:r>
    </w:p>
    <w:p>
      <w:pPr>
        <w:spacing w:before="0" w:after="120"/>
        <w:jc w:val="center"/>
      </w:pPr>
      <w:r>
        <w:rPr>
          <w:rFonts w:ascii="Arial" w:cs="Arial" w:eastAsia="Arial" w:hAnsi="Arial"/>
          <w:color w:val="555555"/>
          <w:sz w:val="26"/>
          <w:szCs w:val="26"/>
        </w:rPr>
        <w:t xml:space="preserve">Comprehensive Analysis with Verified Market Data</w:t>
      </w:r>
    </w:p>
    <w:p>
      <w:pPr>
        <w:spacing w:before="0" w:after="120"/>
        <w:jc w:val="center"/>
      </w:pPr>
      <w:r>
        <w:rPr>
          <w:rFonts w:ascii="Arial" w:cs="Arial" w:eastAsia="Arial" w:hAnsi="Arial"/>
          <w:color w:val="555555"/>
          <w:sz w:val="22"/>
          <w:szCs w:val="22"/>
        </w:rPr>
        <w:t xml:space="preserve">February 18, 2026</w:t>
      </w:r>
    </w:p>
    <w:p>
      <w:pPr>
        <w:spacing w:before="60" w:after="60"/>
      </w:pPr>
      <w:r>
        <w:t xml:space="preserve"/>
      </w:r>
    </w:p>
    <w:p>
      <w:pPr>
        <w:spacing w:before="60" w:after="60"/>
      </w:pPr>
      <w:r>
        <w:t xml:space="preserve"/>
      </w:r>
    </w:p>
    <w:p>
      <w:pPr>
        <w:pBdr>
          <w:top w:val="single" w:color="2E74B5" w:sz="4" w:space="1"/>
        </w:pBdr>
        <w:spacing w:before="120" w:after="120"/>
        <w:jc w:val="center"/>
      </w:pPr>
      <w:r>
        <w:rPr>
          <w:rFonts w:ascii="Arial" w:cs="Arial" w:eastAsia="Arial" w:hAnsi="Arial"/>
          <w:sz w:val="22"/>
          <w:szCs w:val="22"/>
        </w:rPr>
        <w:t xml:space="preserve"> </w:t>
      </w:r>
    </w:p>
    <w:p>
      <w:pPr>
        <w:spacing w:before="0" w:after="80"/>
        <w:jc w:val="center"/>
      </w:pPr>
      <w:r>
        <w:rPr>
          <w:rFonts w:ascii="Arial" w:cs="Arial" w:eastAsia="Arial" w:hAnsi="Arial"/>
          <w:b/>
          <w:bCs/>
          <w:color w:val="1F3864"/>
          <w:sz w:val="22"/>
          <w:szCs w:val="22"/>
        </w:rPr>
        <w:t xml:space="preserve">KEY FINDINGS AT A GLANCE</w:t>
      </w:r>
    </w:p>
    <w:p>
      <w:pPr>
        <w:spacing w:before="0" w:after="80"/>
        <w:jc w:val="center"/>
      </w:pPr>
      <w:r>
        <w:rPr>
          <w:rFonts w:ascii="Arial" w:cs="Arial" w:eastAsia="Arial" w:hAnsi="Arial"/>
          <w:color w:val="444444"/>
          <w:sz w:val="20"/>
          <w:szCs w:val="20"/>
        </w:rPr>
        <w:t xml:space="preserve">LLM inference costs declined 10x annually (2022–2025)  |  GPT-4 class inference: $0.40/M tokens today vs $20 in 2022</w:t>
      </w:r>
    </w:p>
    <w:p>
      <w:pPr>
        <w:spacing w:before="0" w:after="80"/>
        <w:jc w:val="center"/>
      </w:pPr>
      <w:r>
        <w:rPr>
          <w:rFonts w:ascii="Arial" w:cs="Arial" w:eastAsia="Arial" w:hAnsi="Arial"/>
          <w:color w:val="444444"/>
          <w:sz w:val="20"/>
          <w:szCs w:val="20"/>
        </w:rPr>
        <w:t xml:space="preserve">Combined optimization stack (routing + caching + RAG + quantization) delivers 60–98% cost reduction</w:t>
      </w:r>
    </w:p>
    <w:p>
      <w:pPr>
        <w:spacing w:before="0" w:after="80"/>
        <w:jc w:val="center"/>
      </w:pPr>
      <w:r>
        <w:rPr>
          <w:rFonts w:ascii="Arial" w:cs="Arial" w:eastAsia="Arial" w:hAnsi="Arial"/>
          <w:color w:val="444444"/>
          <w:sz w:val="20"/>
          <w:szCs w:val="20"/>
        </w:rPr>
        <w:t xml:space="preserve">Self-hosting break-even: 5–10M tokens/month vs premium APIs; 50–100M vs budget APIs</w:t>
      </w:r>
    </w:p>
    <w:p>
      <w:pPr>
        <w:spacing w:before="0" w:after="80"/>
        <w:jc w:val="center"/>
      </w:pPr>
      <w:r>
        <w:rPr>
          <w:rFonts w:ascii="Arial" w:cs="Arial" w:eastAsia="Arial" w:hAnsi="Arial"/>
          <w:color w:val="444444"/>
          <w:sz w:val="20"/>
          <w:szCs w:val="20"/>
        </w:rPr>
        <w:t xml:space="preserve">AI-first B2B SaaS gross margins: 55–70% (vs 78–85% traditional SaaS)</w:t>
      </w:r>
    </w:p>
    <w:p>
      <w:r>
        <w:br w:type="page"/>
      </w:r>
    </w:p>
    <w:p>
      <w:pPr>
        <w:pStyle w:val="Heading1"/>
        <w:spacing w:before="360" w:after="180"/>
      </w:pPr>
      <w:r>
        <w:rPr>
          <w:rFonts w:ascii="Arial" w:cs="Arial" w:eastAsia="Arial" w:hAnsi="Arial"/>
          <w:b/>
          <w:bCs/>
          <w:color w:val="1F3864"/>
          <w:sz w:val="36"/>
          <w:szCs w:val="36"/>
        </w:rPr>
        <w:t xml:space="preserve">1. Executive Summary</w:t>
      </w:r>
    </w:p>
    <w:p>
      <w:pPr>
        <w:spacing w:before="80" w:after="120" w:line="276"/>
        <w:jc w:val="both"/>
      </w:pPr>
      <w:r>
        <w:rPr>
          <w:rFonts w:ascii="Arial" w:cs="Arial" w:eastAsia="Arial" w:hAnsi="Arial"/>
          <w:b w:val="false"/>
          <w:bCs w:val="false"/>
          <w:i w:val="false"/>
          <w:iCs w:val="false"/>
          <w:color w:val="000000"/>
          <w:sz w:val="22"/>
          <w:szCs w:val="22"/>
        </w:rPr>
        <w:t xml:space="preserve">This paper synthesises verified market data as of February 2026 to present an evidence-based framework for building profitable AI-powered applications. The landscape has fundamentally shifted: the hype era of 2022–2024 has given way to an integration-and-specialisation phase in which profitability depends not on model capability alone but on architecture discipline, cost engineering, and vertical focus.</w:t>
      </w:r>
    </w:p>
    <w:p>
      <w:pPr>
        <w:spacing w:before="80" w:after="120" w:line="276"/>
        <w:jc w:val="both"/>
      </w:pPr>
      <w:r>
        <w:rPr>
          <w:rFonts w:ascii="Arial" w:cs="Arial" w:eastAsia="Arial" w:hAnsi="Arial"/>
          <w:b w:val="false"/>
          <w:bCs w:val="false"/>
          <w:i w:val="false"/>
          <w:iCs w:val="false"/>
          <w:color w:val="000000"/>
          <w:sz w:val="22"/>
          <w:szCs w:val="22"/>
        </w:rPr>
        <w:t xml:space="preserve">Three forces define the 2026 competitive environment. First, inference costs have collapsed — GPT-4 class performance that cost $20 per million tokens in late 2022 now costs approximately $0.40, a 50x reduction. Second, model quality has democratised — open-weight models from Qwen, Mistral, and Meta now achieve 90–95% parity with frontier models on most production workloads, making self-hosting and routing strategies viable for any serious application. Third, the pricing model for AI SaaS has been forced to evolve — variable inference costs mean the near-zero marginal cost assumption of traditional SaaS no longer applies, compressing gross margins by 15–25 percentage points and demanding new economic frameworks.</w:t>
      </w:r>
    </w:p>
    <w:p>
      <w:pPr>
        <w:spacing w:before="80" w:after="120" w:line="276"/>
        <w:jc w:val="both"/>
      </w:pPr>
      <w:r>
        <w:rPr>
          <w:rFonts w:ascii="Arial" w:cs="Arial" w:eastAsia="Arial" w:hAnsi="Arial"/>
          <w:b w:val="false"/>
          <w:bCs w:val="false"/>
          <w:i w:val="false"/>
          <w:iCs w:val="false"/>
          <w:color w:val="000000"/>
          <w:sz w:val="22"/>
          <w:szCs w:val="22"/>
        </w:rPr>
        <w:t xml:space="preserve">The paper proceeds in eight sections: current pricing landscape, cost engineering strategies, deployment architecture decisions, business model design, unit economics modelling, organisational schema for AI product teams, a break-even and scale simulation, and a consolidated research agenda.</w:t>
      </w:r>
    </w:p>
    <w:p>
      <w:pPr>
        <w:spacing w:before="60" w:after="60"/>
      </w:pPr>
      <w:r>
        <w:t xml:space="preserve"/>
      </w:r>
    </w:p>
    <w:p>
      <w:pPr>
        <w:pStyle w:val="Heading1"/>
        <w:spacing w:before="360" w:after="180"/>
      </w:pPr>
      <w:r>
        <w:rPr>
          <w:rFonts w:ascii="Arial" w:cs="Arial" w:eastAsia="Arial" w:hAnsi="Arial"/>
          <w:b/>
          <w:bCs/>
          <w:color w:val="1F3864"/>
          <w:sz w:val="36"/>
          <w:szCs w:val="36"/>
        </w:rPr>
        <w:t xml:space="preserve">2. The 2026 LLM Pricing Landscape</w:t>
      </w:r>
    </w:p>
    <w:p>
      <w:pPr>
        <w:pStyle w:val="Heading2"/>
        <w:spacing w:before="280" w:after="120"/>
      </w:pPr>
      <w:r>
        <w:rPr>
          <w:rFonts w:ascii="Arial" w:cs="Arial" w:eastAsia="Arial" w:hAnsi="Arial"/>
          <w:b/>
          <w:bCs/>
          <w:color w:val="2E74B5"/>
          <w:sz w:val="28"/>
          <w:szCs w:val="28"/>
        </w:rPr>
        <w:t xml:space="preserve">2.1 Current API Pricing Tiers</w:t>
      </w:r>
    </w:p>
    <w:p>
      <w:pPr>
        <w:spacing w:before="80" w:after="120" w:line="276"/>
        <w:jc w:val="both"/>
      </w:pPr>
      <w:r>
        <w:rPr>
          <w:rFonts w:ascii="Arial" w:cs="Arial" w:eastAsia="Arial" w:hAnsi="Arial"/>
          <w:b w:val="false"/>
          <w:bCs w:val="false"/>
          <w:i w:val="false"/>
          <w:iCs w:val="false"/>
          <w:color w:val="000000"/>
          <w:sz w:val="22"/>
          <w:szCs w:val="22"/>
        </w:rPr>
        <w:t xml:space="preserve">As of February 2026, the API pricing market has stratified into four clear tiers. Budget models — primarily Gemini 2.0 Flash Lite ($0.08/$0.30 per million tokens input/output) and GPT-5 nano ($0.05/$0.40) — serve classification, intent detection, and simple generation workloads at costs previously unimaginable. Mid-range models including GPT-4o Mini ($0.15/$0.60) and Claude Haiku 4.5 ($1.00/$5.00) balance quality and cost for the majority of production workloads. Premium models — Claude Sonnet ($3.00/$15.00), GPT-4o ($5.00/$15.00) — serve complex reasoning tasks. Frontier models — Claude Opus 4.5 ($5.00/$25.00), Grok — are reserved for highest-stakes generation.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1100"/>
        <w:gridCol w:w="1200"/>
        <w:gridCol w:w="2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$/M</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2.0 Flash 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1M tokens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 routing, summarisation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GPT-5 Nano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$0.40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128K</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Intent detection, simple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 Mini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production, chatbots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 Haiku 4.5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200K</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extraction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Sonnet 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analysis, long docs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GPT-4o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Premium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128K</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High-quality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Opus 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Frontier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Mission-critical, reasoning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DeepSeek V3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Budget-Open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$0.27</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64K</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Cost-sensitive at quality</w:t>
            </w:r>
          </w:p>
        </w:tc>
      </w:tr>
    </w:tbl>
    <w:p>
      <w:pPr>
        <w:spacing w:before="60" w:after="60"/>
      </w:pPr>
      <w:r>
        <w:t xml:space="preserve"/>
      </w:r>
    </w:p>
    <w:p>
      <w:pPr>
        <w:spacing w:before="80" w:after="120" w:line="276"/>
        <w:jc w:val="both"/>
      </w:pPr>
      <w:r>
        <w:rPr>
          <w:rFonts w:ascii="Arial" w:cs="Arial" w:eastAsia="Arial" w:hAnsi="Arial"/>
          <w:b w:val="false"/>
          <w:bCs w:val="false"/>
          <w:i w:val="false"/>
          <w:iCs w:val="false"/>
          <w:color w:val="000000"/>
          <w:sz w:val="22"/>
          <w:szCs w:val="22"/>
        </w:rPr>
        <w:t xml:space="preserve">Source: Cloudidr LLM Pricing Comparison 2026; IntuitionLabs API Pricing Comparison; official provider documentation. Prices per million tokens (input/output). Verified January–February 2026.</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2.2 The Output Token Problem</w:t>
      </w:r>
    </w:p>
    <w:p>
      <w:pPr>
        <w:spacing w:before="80" w:after="120" w:line="276"/>
        <w:jc w:val="both"/>
      </w:pPr>
      <w:r>
        <w:rPr>
          <w:rFonts w:ascii="Arial" w:cs="Arial" w:eastAsia="Arial" w:hAnsi="Arial"/>
          <w:b w:val="false"/>
          <w:bCs w:val="false"/>
          <w:i w:val="false"/>
          <w:iCs w:val="false"/>
          <w:color w:val="000000"/>
          <w:sz w:val="22"/>
          <w:szCs w:val="22"/>
        </w:rPr>
        <w:t xml:space="preserve">The single most important pricing fact that teams routinely underestimate: output tokens cost 3–10x more than input tokens across all major providers. A typical chatbot generating 2x more output than input raises the effective cost dramatically. An application assuming $0.15/M input cost for GPT-4o Mini but generating twice as many output tokens faces a real blended cost of approximately $0.45/M — a 3x surprise that compounds at scale.</w:t>
      </w:r>
    </w:p>
    <w:p>
      <w:pPr>
        <w:spacing w:before="80" w:after="120" w:line="276"/>
        <w:jc w:val="both"/>
      </w:pPr>
      <w:r>
        <w:rPr>
          <w:rFonts w:ascii="Arial" w:cs="Arial" w:eastAsia="Arial" w:hAnsi="Arial"/>
          <w:b w:val="false"/>
          <w:bCs w:val="false"/>
          <w:i w:val="false"/>
          <w:iCs w:val="false"/>
          <w:color w:val="000000"/>
          <w:sz w:val="22"/>
          <w:szCs w:val="22"/>
        </w:rPr>
        <w:t xml:space="preserve">Empirical evidence demonstrates the magnitude of this error: one documented case study showed a startup spending $3,000/month on GPT-4 for a chatbot that was functionally equivalent to GPT-4o Mini at $150/month — a 95% overspend driven by both model selection and output token naivety. At annualised scale, this represents $34,200 in recoverable waste from a single configuration decision.</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2.3 Cost Deflation Trajectory</w:t>
      </w:r>
    </w:p>
    <w:p>
      <w:pPr>
        <w:spacing w:before="80" w:after="120" w:line="276"/>
        <w:jc w:val="both"/>
      </w:pPr>
      <w:r>
        <w:rPr>
          <w:rFonts w:ascii="Arial" w:cs="Arial" w:eastAsia="Arial" w:hAnsi="Arial"/>
          <w:b w:val="false"/>
          <w:bCs w:val="false"/>
          <w:i w:val="false"/>
          <w:iCs w:val="false"/>
          <w:color w:val="000000"/>
          <w:sz w:val="22"/>
          <w:szCs w:val="22"/>
        </w:rPr>
        <w:t xml:space="preserve">The structural force behind 2026 economics is that LLM inference costs are declining faster than almost any precedent in computing history. Stanford AI Index 2025 data shows inference costs for GPT-3.5 class models fell 280-fold between 2020 and 2024. Epoch AI analysis confirms this as an exponential, not linear, trend — each order of magnitude reduction unlocks previously uneconomical use cases, expanding total addressable market even as per-unit revenue falls.</w:t>
      </w:r>
    </w:p>
    <w:p>
      <w:pPr>
        <w:spacing w:before="80" w:after="120" w:line="276"/>
        <w:jc w:val="both"/>
      </w:pPr>
      <w:r>
        <w:rPr>
          <w:rFonts w:ascii="Arial" w:cs="Arial" w:eastAsia="Arial" w:hAnsi="Arial"/>
          <w:b w:val="false"/>
          <w:bCs w:val="false"/>
          <w:i w:val="false"/>
          <w:iCs w:val="false"/>
          <w:color w:val="000000"/>
          <w:sz w:val="22"/>
          <w:szCs w:val="22"/>
        </w:rPr>
        <w:t xml:space="preserve">Cloud GPU pricing has also compressed significantly. AWS H100 instances dropped from approximately $7.00/hour to $3.90/hour in June 2025 — a 44% reduction. Specialised GPU cloud providers (Hyperbolic at $1.49/hour, Lambda Labs at $1.85/hour) consistently undercut hyperscalers, reshaping the self-hosting calculus.</w:t>
      </w:r>
    </w:p>
    <w:p>
      <w:pPr>
        <w:spacing w:before="60" w:after="60"/>
      </w:pPr>
      <w:r>
        <w:t xml:space="preserve"/>
      </w:r>
    </w:p>
    <w:p>
      <w:pPr>
        <w:pStyle w:val="Heading1"/>
        <w:spacing w:before="360" w:after="180"/>
      </w:pPr>
      <w:r>
        <w:rPr>
          <w:rFonts w:ascii="Arial" w:cs="Arial" w:eastAsia="Arial" w:hAnsi="Arial"/>
          <w:b/>
          <w:bCs/>
          <w:color w:val="1F3864"/>
          <w:sz w:val="36"/>
          <w:szCs w:val="36"/>
        </w:rPr>
        <w:t xml:space="preserve">3. Cost Engineering: The Optimisation Stack</w:t>
      </w:r>
    </w:p>
    <w:p>
      <w:pPr>
        <w:spacing w:before="80" w:after="120" w:line="276"/>
        <w:jc w:val="both"/>
      </w:pPr>
      <w:r>
        <w:rPr>
          <w:rFonts w:ascii="Arial" w:cs="Arial" w:eastAsia="Arial" w:hAnsi="Arial"/>
          <w:b w:val="false"/>
          <w:bCs w:val="false"/>
          <w:i w:val="false"/>
          <w:iCs w:val="false"/>
          <w:color w:val="000000"/>
          <w:sz w:val="22"/>
          <w:szCs w:val="22"/>
        </w:rPr>
        <w:t xml:space="preserve">Industry research consistently shows that a well-implemented optimisation stack can reduce AI infrastructure costs by 60–98% without sacrificing meaningful quality. The strategies are cumulative: implementing multiple layers compounds savings non-linearly.</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3.1 Model Routing (Cascading)</w:t>
      </w:r>
    </w:p>
    <w:p>
      <w:pPr>
        <w:spacing w:before="80" w:after="120" w:line="276"/>
        <w:jc w:val="both"/>
      </w:pPr>
      <w:r>
        <w:rPr>
          <w:rFonts w:ascii="Arial" w:cs="Arial" w:eastAsia="Arial" w:hAnsi="Arial"/>
          <w:b w:val="false"/>
          <w:bCs w:val="false"/>
          <w:i w:val="false"/>
          <w:iCs w:val="false"/>
          <w:color w:val="000000"/>
          <w:sz w:val="22"/>
          <w:szCs w:val="22"/>
        </w:rPr>
        <w:t xml:space="preserve">Model routing — directing each sub-task to the cheapest model capable of performing it adequately — is the highest-impact single intervention available. The canonical production architecture routes as follows:</w:t>
      </w:r>
    </w:p>
    <w:p>
      <w:pPr>
        <w:pStyle w:val="ListParagraph"/>
        <w:numPr>
          <w:ilvl w:val="0"/>
          <w:numId w:val="2"/>
        </w:numPr>
        <w:spacing w:before="60" w:after="60"/>
      </w:pPr>
      <w:r>
        <w:rPr>
          <w:rFonts w:ascii="Arial" w:cs="Arial" w:eastAsia="Arial" w:hAnsi="Arial"/>
          <w:sz w:val="22"/>
          <w:szCs w:val="22"/>
        </w:rPr>
        <w:t xml:space="preserve">Intent/classification layer: Budget model (Gemini Flash Lite, GPT-5 Nano) — cost: $0.05–0.08/M input</w:t>
      </w:r>
    </w:p>
    <w:p>
      <w:pPr>
        <w:pStyle w:val="ListParagraph"/>
        <w:numPr>
          <w:ilvl w:val="0"/>
          <w:numId w:val="2"/>
        </w:numPr>
        <w:spacing w:before="60" w:after="60"/>
      </w:pPr>
      <w:r>
        <w:rPr>
          <w:rFonts w:ascii="Arial" w:cs="Arial" w:eastAsia="Arial" w:hAnsi="Arial"/>
          <w:sz w:val="22"/>
          <w:szCs w:val="22"/>
        </w:rPr>
        <w:t xml:space="preserve">Standard generation: Mid-range model (GPT-4o Mini, Haiku) — cost: $0.15–1.00/M input</w:t>
      </w:r>
    </w:p>
    <w:p>
      <w:pPr>
        <w:pStyle w:val="ListParagraph"/>
        <w:numPr>
          <w:ilvl w:val="0"/>
          <w:numId w:val="2"/>
        </w:numPr>
        <w:spacing w:before="60" w:after="60"/>
      </w:pPr>
      <w:r>
        <w:rPr>
          <w:rFonts w:ascii="Arial" w:cs="Arial" w:eastAsia="Arial" w:hAnsi="Arial"/>
          <w:sz w:val="22"/>
          <w:szCs w:val="22"/>
        </w:rPr>
        <w:t xml:space="preserve">Complex reasoning: Premium model (Sonnet, GPT-4o) — triggered only when confidence score below threshold</w:t>
      </w:r>
    </w:p>
    <w:p>
      <w:pPr>
        <w:pStyle w:val="ListParagraph"/>
        <w:numPr>
          <w:ilvl w:val="0"/>
          <w:numId w:val="2"/>
        </w:numPr>
        <w:spacing w:before="60" w:after="60"/>
      </w:pPr>
      <w:r>
        <w:rPr>
          <w:rFonts w:ascii="Arial" w:cs="Arial" w:eastAsia="Arial" w:hAnsi="Arial"/>
          <w:sz w:val="22"/>
          <w:szCs w:val="22"/>
        </w:rPr>
        <w:t xml:space="preserve">Final synthesis / high-stakes: Frontier model — triggered by explicit task classifier flag only</w:t>
      </w:r>
    </w:p>
    <w:p>
      <w:pPr>
        <w:spacing w:before="60" w:after="60"/>
      </w:pPr>
      <w:r>
        <w:t xml:space="preserve"/>
      </w:r>
    </w:p>
    <w:p>
      <w:pPr>
        <w:spacing w:before="80" w:after="120" w:line="276"/>
        <w:jc w:val="both"/>
      </w:pPr>
      <w:r>
        <w:rPr>
          <w:rFonts w:ascii="Arial" w:cs="Arial" w:eastAsia="Arial" w:hAnsi="Arial"/>
          <w:b w:val="false"/>
          <w:bCs w:val="false"/>
          <w:i w:val="false"/>
          <w:iCs w:val="false"/>
          <w:color w:val="000000"/>
          <w:sz w:val="22"/>
          <w:szCs w:val="22"/>
        </w:rPr>
        <w:t xml:space="preserve">Empirical evidence: research shows 70–80% of production workloads perform identically on mid-tier models versus premium models. Routing only 20–30% of traffic to expensive models while routing the rest to budget models can cut raw model spend by 60–75% with negligible quality degradation when implemented with proper confidence thresholds.</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3.2 Prompt Caching</w:t>
      </w:r>
    </w:p>
    <w:p>
      <w:pPr>
        <w:spacing w:before="80" w:after="120" w:line="276"/>
        <w:jc w:val="both"/>
      </w:pPr>
      <w:r>
        <w:rPr>
          <w:rFonts w:ascii="Arial" w:cs="Arial" w:eastAsia="Arial" w:hAnsi="Arial"/>
          <w:b w:val="false"/>
          <w:bCs w:val="false"/>
          <w:i w:val="false"/>
          <w:iCs w:val="false"/>
          <w:color w:val="000000"/>
          <w:sz w:val="22"/>
          <w:szCs w:val="22"/>
        </w:rPr>
        <w:t xml:space="preserve">Provider-level caching dramatically reduces costs for applications with repeated system prompts, knowledge bases, or shared context. Anthropic's caching implementation charges 1.25x the base rate for a cache write, but subsequent reads cost only 0.1x the base rate — a 90% saving on cached tokens. For a 10,000-token system prompt used across thousands of requests, this is transformative.</w:t>
      </w:r>
    </w:p>
    <w:p>
      <w:pPr>
        <w:spacing w:before="80" w:after="120" w:line="276"/>
        <w:jc w:val="both"/>
      </w:pPr>
      <w:r>
        <w:rPr>
          <w:rFonts w:ascii="Arial" w:cs="Arial" w:eastAsia="Arial" w:hAnsi="Arial"/>
          <w:b w:val="false"/>
          <w:bCs w:val="false"/>
          <w:i w:val="false"/>
          <w:iCs w:val="false"/>
          <w:color w:val="000000"/>
          <w:sz w:val="22"/>
          <w:szCs w:val="22"/>
        </w:rPr>
        <w:t xml:space="preserve">Application-level caching (Redis, Memcached) for semantically identical queries delivers 30% cost reduction for applications with repetitive user inputs such as customer support bots. Combined with provider-level caching, correctly structured applications achieve 40–60% input cost reduction from caching alone.</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3.3 Retrieval-Augmented Generation (RAG)</w:t>
      </w:r>
    </w:p>
    <w:p>
      <w:pPr>
        <w:spacing w:before="80" w:after="120" w:line="276"/>
        <w:jc w:val="both"/>
      </w:pPr>
      <w:r>
        <w:rPr>
          <w:rFonts w:ascii="Arial" w:cs="Arial" w:eastAsia="Arial" w:hAnsi="Arial"/>
          <w:b w:val="false"/>
          <w:bCs w:val="false"/>
          <w:i w:val="false"/>
          <w:iCs w:val="false"/>
          <w:color w:val="000000"/>
          <w:sz w:val="22"/>
          <w:szCs w:val="22"/>
        </w:rPr>
        <w:t xml:space="preserve">RAG reduces generation token load by replacing large context windows with precise retrieval. Instead of sending a 50,000-token knowledge base with every request, a well-implemented RAG pipeline retrieves the 3–5 most relevant chunks (typically 500–1,500 tokens) and sends only those. Research indicates 40–70% input cost reduction for knowledge-heavy applications.</w:t>
      </w:r>
    </w:p>
    <w:p>
      <w:pPr>
        <w:spacing w:before="80" w:after="120" w:line="276"/>
        <w:jc w:val="both"/>
      </w:pPr>
      <w:r>
        <w:rPr>
          <w:rFonts w:ascii="Arial" w:cs="Arial" w:eastAsia="Arial" w:hAnsi="Arial"/>
          <w:b w:val="false"/>
          <w:bCs w:val="false"/>
          <w:i w:val="false"/>
          <w:iCs w:val="false"/>
          <w:color w:val="000000"/>
          <w:sz w:val="22"/>
          <w:szCs w:val="22"/>
        </w:rPr>
        <w:t xml:space="preserve">The 'lost in the middle' problem provides additional motivation: research demonstrates that models with very large contexts (1M+ tokens) often fail to reliably recall information buried deep within them. RAG therefore improves both cost and retrieval quality simultaneously for most production knowledge applications.</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3.4 Context Window Management</w:t>
      </w:r>
    </w:p>
    <w:p>
      <w:pPr>
        <w:spacing w:before="80" w:after="120" w:line="276"/>
        <w:jc w:val="both"/>
      </w:pPr>
      <w:r>
        <w:rPr>
          <w:rFonts w:ascii="Arial" w:cs="Arial" w:eastAsia="Arial" w:hAnsi="Arial"/>
          <w:b w:val="false"/>
          <w:bCs w:val="false"/>
          <w:i w:val="false"/>
          <w:iCs w:val="false"/>
          <w:color w:val="000000"/>
          <w:sz w:val="22"/>
          <w:szCs w:val="22"/>
        </w:rPr>
        <w:t xml:space="preserve">Multi-turn applications face a hidden cost multiplier: every response requires processing the entire conversation history again. A customer support bot maintaining full context might process the same historical messages 30+ times per session. Selective memory strategies — retaining only contextually relevant exchanges based on semantic similarity to the current query — reduce token consumption by 20–40% in multi-turn applications without measurable quality degradation in controlled tests.</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3.5 Output Length Optimisation</w:t>
      </w:r>
    </w:p>
    <w:p>
      <w:pPr>
        <w:spacing w:before="80" w:after="120" w:line="276"/>
        <w:jc w:val="both"/>
      </w:pPr>
      <w:r>
        <w:rPr>
          <w:rFonts w:ascii="Arial" w:cs="Arial" w:eastAsia="Arial" w:hAnsi="Arial"/>
          <w:b w:val="false"/>
          <w:bCs w:val="false"/>
          <w:i w:val="false"/>
          <w:iCs w:val="false"/>
          <w:color w:val="000000"/>
          <w:sz w:val="22"/>
          <w:szCs w:val="22"/>
        </w:rPr>
        <w:t xml:space="preserve">Since output tokens cost 3–10x input tokens, instructing models to be concise is economically significant. Structured output formats (JSON, YAML) with explicit field definitions reduce verbosity compared to free-form prose. Setting explicit max_token limits by task type prevents runaway generation costs. Combining these techniques with output compression (Gzip/Brotli on transmission) adds 2–3% bandwidth savings that cloud providers still bill for.</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3.6 Batching and Async Processing</w:t>
      </w:r>
    </w:p>
    <w:p>
      <w:pPr>
        <w:spacing w:before="80" w:after="120" w:line="276"/>
        <w:jc w:val="both"/>
      </w:pPr>
      <w:r>
        <w:rPr>
          <w:rFonts w:ascii="Arial" w:cs="Arial" w:eastAsia="Arial" w:hAnsi="Arial"/>
          <w:b w:val="false"/>
          <w:bCs w:val="false"/>
          <w:i w:val="false"/>
          <w:iCs w:val="false"/>
          <w:color w:val="000000"/>
          <w:sz w:val="22"/>
          <w:szCs w:val="22"/>
        </w:rPr>
        <w:t xml:space="preserve">Both OpenAI (Batch API: 50% discount) and Anthropic (Message Batches: similar discount) offer substantial discounts for non-real-time workloads. Applications with latency-insensitive tasks — report generation, document processing, overnight analytics — should route these workloads to batch endpoints as a default configuration decision, not an afterthought.</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3.7 Quantisation</w:t>
      </w:r>
    </w:p>
    <w:p>
      <w:pPr>
        <w:spacing w:before="80" w:after="120" w:line="276"/>
        <w:jc w:val="both"/>
      </w:pPr>
      <w:r>
        <w:rPr>
          <w:rFonts w:ascii="Arial" w:cs="Arial" w:eastAsia="Arial" w:hAnsi="Arial"/>
          <w:b w:val="false"/>
          <w:bCs w:val="false"/>
          <w:i w:val="false"/>
          <w:iCs w:val="false"/>
          <w:color w:val="000000"/>
          <w:sz w:val="22"/>
          <w:szCs w:val="22"/>
        </w:rPr>
        <w:t xml:space="preserve">For self-hosted deployments, quantisation (reducing model weight precision from BF16 to W4A16 or NVFP4) halves GPU memory requirements and reduces power consumption with no visible quality loss on most tasks. NVIDIA RTX 5090 benchmarks with NVFP4 quantisation show 30% reduction in operational costs while maintaining throughput. DeepSeek's internal reporting and independent replication confirm that 4-bit quantised 70B models match full-precision performance on standard benchmarks.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400"/>
        <w:gridCol w:w="2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 Reduction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 Effort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to Impact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routing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ROI, foundational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Prompt caching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40–90% on cached tokens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Hours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 prompts: static content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 retrieval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40–70% input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weeks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Also improves quality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Context management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20–40%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 for multi-turn apps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optimisation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structured output formats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 APIs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Hours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Latency-insensitive tasks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Quantisation (self-host)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self-hosting capability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Combined stack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60–98%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Weeks–Months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Compounding, not additive</w:t>
            </w:r>
          </w:p>
        </w:tc>
      </w:tr>
    </w:tbl>
    <w:p>
      <w:pPr>
        <w:spacing w:before="60" w:after="60"/>
      </w:pPr>
      <w:r>
        <w:t xml:space="preserve"/>
      </w:r>
    </w:p>
    <w:p>
      <w:pPr>
        <w:pStyle w:val="Heading1"/>
        <w:spacing w:before="360" w:after="180"/>
      </w:pPr>
      <w:r>
        <w:rPr>
          <w:rFonts w:ascii="Arial" w:cs="Arial" w:eastAsia="Arial" w:hAnsi="Arial"/>
          <w:b/>
          <w:bCs/>
          <w:color w:val="1F3864"/>
          <w:sz w:val="36"/>
          <w:szCs w:val="36"/>
        </w:rPr>
        <w:t xml:space="preserve">4. Deployment Architecture: API vs Self-Hosting vs Hybrid</w:t>
      </w:r>
    </w:p>
    <w:p>
      <w:pPr>
        <w:pStyle w:val="Heading2"/>
        <w:spacing w:before="280" w:after="120"/>
      </w:pPr>
      <w:r>
        <w:rPr>
          <w:rFonts w:ascii="Arial" w:cs="Arial" w:eastAsia="Arial" w:hAnsi="Arial"/>
          <w:b/>
          <w:bCs/>
          <w:color w:val="2E74B5"/>
          <w:sz w:val="28"/>
          <w:szCs w:val="28"/>
        </w:rPr>
        <w:t xml:space="preserve">4.1 The Decision Framework</w:t>
      </w:r>
    </w:p>
    <w:p>
      <w:pPr>
        <w:spacing w:before="80" w:after="120" w:line="276"/>
        <w:jc w:val="both"/>
      </w:pPr>
      <w:r>
        <w:rPr>
          <w:rFonts w:ascii="Arial" w:cs="Arial" w:eastAsia="Arial" w:hAnsi="Arial"/>
          <w:b w:val="false"/>
          <w:bCs w:val="false"/>
          <w:i w:val="false"/>
          <w:iCs w:val="false"/>
          <w:color w:val="000000"/>
          <w:sz w:val="22"/>
          <w:szCs w:val="22"/>
        </w:rPr>
        <w:t xml:space="preserve">The self-hosting vs API decision is the most consequential infrastructure choice an AI application team makes. As of January 2026, the economics have been thoroughly studied with a clear empirical conclusion: the decision hinges almost entirely on monthly token volume and engineering capacity, not on aspiration or principle.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Token Volume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Strategy</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5M tokens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(provider-hosted)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Self-hosting fixed costs dominate; APIs cheaper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5–50M tokens (premium models)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Hybrid: API + routing to budget models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Routing reduces effective cost significantly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50–100M tokens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 self-hosting for core workloads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Break-even approaching for mid-size models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100M+ tokens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Self-hosting + API fallback for peaks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$5M–$50M annual savings documented at this scale</w:t>
            </w:r>
          </w:p>
        </w:tc>
      </w:tr>
    </w:tbl>
    <w:p>
      <w:pPr>
        <w:spacing w:before="60" w:after="60"/>
      </w:pPr>
      <w:r>
        <w:t xml:space="preserve"/>
      </w:r>
    </w:p>
    <w:p>
      <w:pPr>
        <w:pStyle w:val="Heading2"/>
        <w:spacing w:before="280" w:after="120"/>
      </w:pPr>
      <w:r>
        <w:rPr>
          <w:rFonts w:ascii="Arial" w:cs="Arial" w:eastAsia="Arial" w:hAnsi="Arial"/>
          <w:b/>
          <w:bCs/>
          <w:color w:val="2E74B5"/>
          <w:sz w:val="28"/>
          <w:szCs w:val="28"/>
        </w:rPr>
        <w:t xml:space="preserve">4.2 Self-Hosting Economics (January 2026)</w:t>
      </w:r>
    </w:p>
    <w:p>
      <w:pPr>
        <w:spacing w:before="80" w:after="120" w:line="276"/>
        <w:jc w:val="both"/>
      </w:pPr>
      <w:r>
        <w:rPr>
          <w:rFonts w:ascii="Arial" w:cs="Arial" w:eastAsia="Arial" w:hAnsi="Arial"/>
          <w:b w:val="false"/>
          <w:bCs w:val="false"/>
          <w:i w:val="false"/>
          <w:iCs w:val="false"/>
          <w:color w:val="000000"/>
          <w:sz w:val="22"/>
          <w:szCs w:val="22"/>
        </w:rPr>
        <w:t xml:space="preserve">Self-hosting has been reshaped by two forces: open-weight model quality has reached near-parity with closed models for most workloads, and GPU prices have declined 40–60% since 2024 peaks. The key data points for the self-hosting calculation:</w:t>
      </w:r>
    </w:p>
    <w:p>
      <w:pPr>
        <w:pStyle w:val="ListParagraph"/>
        <w:numPr>
          <w:ilvl w:val="0"/>
          <w:numId w:val="2"/>
        </w:numPr>
        <w:spacing w:before="60" w:after="60"/>
      </w:pPr>
      <w:r>
        <w:rPr>
          <w:rFonts w:ascii="Arial" w:cs="Arial" w:eastAsia="Arial" w:hAnsi="Arial"/>
          <w:sz w:val="22"/>
          <w:szCs w:val="22"/>
        </w:rPr>
        <w:t xml:space="preserve">H100 cloud: $2.85–$3.50/hour (hyperscalers); $1.49–$1.89/hour (specialised GPU cloud)</w:t>
      </w:r>
    </w:p>
    <w:p>
      <w:pPr>
        <w:pStyle w:val="ListParagraph"/>
        <w:numPr>
          <w:ilvl w:val="0"/>
          <w:numId w:val="2"/>
        </w:numPr>
        <w:spacing w:before="60" w:after="60"/>
      </w:pPr>
      <w:r>
        <w:rPr>
          <w:rFonts w:ascii="Arial" w:cs="Arial" w:eastAsia="Arial" w:hAnsi="Arial"/>
          <w:sz w:val="22"/>
          <w:szCs w:val="22"/>
        </w:rPr>
        <w:t xml:space="preserve">RTX 5090 consumer GPU: ~$2,000 purchase vs $25,000+ for H100 — viable for SMEs</w:t>
      </w:r>
    </w:p>
    <w:p>
      <w:pPr>
        <w:pStyle w:val="ListParagraph"/>
        <w:numPr>
          <w:ilvl w:val="0"/>
          <w:numId w:val="2"/>
        </w:numPr>
        <w:spacing w:before="60" w:after="60"/>
      </w:pPr>
      <w:r>
        <w:rPr>
          <w:rFonts w:ascii="Arial" w:cs="Arial" w:eastAsia="Arial" w:hAnsi="Arial"/>
          <w:sz w:val="22"/>
          <w:szCs w:val="22"/>
        </w:rPr>
        <w:t xml:space="preserve">A Falcon-7B on a single H100 spot node at 70% utilisation: approximately $10.3K/year total</w:t>
      </w:r>
    </w:p>
    <w:p>
      <w:pPr>
        <w:pStyle w:val="ListParagraph"/>
        <w:numPr>
          <w:ilvl w:val="0"/>
          <w:numId w:val="2"/>
        </w:numPr>
        <w:spacing w:before="60" w:after="60"/>
      </w:pPr>
      <w:r>
        <w:rPr>
          <w:rFonts w:ascii="Arial" w:cs="Arial" w:eastAsia="Arial" w:hAnsi="Arial"/>
          <w:sz w:val="22"/>
          <w:szCs w:val="22"/>
        </w:rPr>
        <w:t xml:space="preserve">Qwen 2.5-72B achieves 95%+ parity with GPT-4 on MMLU, HumanEval, MATH benchmarks</w:t>
      </w:r>
    </w:p>
    <w:p>
      <w:pPr>
        <w:pStyle w:val="ListParagraph"/>
        <w:numPr>
          <w:ilvl w:val="0"/>
          <w:numId w:val="2"/>
        </w:numPr>
        <w:spacing w:before="60" w:after="60"/>
      </w:pPr>
      <w:r>
        <w:rPr>
          <w:rFonts w:ascii="Arial" w:cs="Arial" w:eastAsia="Arial" w:hAnsi="Arial"/>
          <w:sz w:val="22"/>
          <w:szCs w:val="22"/>
        </w:rPr>
        <w:t xml:space="preserve">Quantised 7B models: $0.013/1K tokens at production throughput — vs $0.40–$3.00/M for API equivalents</w:t>
      </w:r>
    </w:p>
    <w:p>
      <w:pPr>
        <w:spacing w:before="60" w:after="60"/>
      </w:pPr>
      <w:r>
        <w:t xml:space="preserve"/>
      </w:r>
    </w:p>
    <w:p>
      <w:pPr>
        <w:spacing w:before="80" w:after="120" w:line="276"/>
        <w:jc w:val="both"/>
      </w:pPr>
      <w:r>
        <w:rPr>
          <w:rFonts w:ascii="Arial" w:cs="Arial" w:eastAsia="Arial" w:hAnsi="Arial"/>
          <w:b w:val="false"/>
          <w:bCs w:val="false"/>
          <w:i w:val="false"/>
          <w:iCs w:val="false"/>
          <w:color w:val="000000"/>
          <w:sz w:val="22"/>
          <w:szCs w:val="22"/>
        </w:rPr>
        <w:t xml:space="preserve">Critical caveat: raw GPU costs represent only 30–40% of true self-hosting investment. Engineering labour (minimum 1.5–2 FTE = $270K–$550K annually), storage, networking, monitoring, and security add a 2.5–3x multiplier. A 'free' open-source model can cost $500K+/year in operational overhead. Teams below approximately 10M monthly tokens should not self-host without a specific data sovereignty or compliance requirement driving the decision.</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4.3 Compliance-Driven Architecture</w:t>
      </w:r>
    </w:p>
    <w:p>
      <w:pPr>
        <w:spacing w:before="80" w:after="120" w:line="276"/>
        <w:jc w:val="both"/>
      </w:pPr>
      <w:r>
        <w:rPr>
          <w:rFonts w:ascii="Arial" w:cs="Arial" w:eastAsia="Arial" w:hAnsi="Arial"/>
          <w:b w:val="false"/>
          <w:bCs w:val="false"/>
          <w:i w:val="false"/>
          <w:iCs w:val="false"/>
          <w:color w:val="000000"/>
          <w:sz w:val="22"/>
          <w:szCs w:val="22"/>
        </w:rPr>
        <w:t xml:space="preserve">Compliance requirements fundamentally alter the build-vs-buy calculation. HIPAA-tier API deployments from major providers add 5–15% cost per call, and 44% of enterprises cite data privacy as their primary LLM adoption barrier (Kong 2025 Enterprise AI Report). One documented telemedicine case study cut monthly spend from $48K to $32K by shifting chat triage to a self-hosted LLM purely for PHI compliance reasons — not cost.</w:t>
      </w:r>
    </w:p>
    <w:p>
      <w:pPr>
        <w:spacing w:before="80" w:after="120" w:line="276"/>
        <w:jc w:val="both"/>
      </w:pPr>
      <w:r>
        <w:rPr>
          <w:rFonts w:ascii="Arial" w:cs="Arial" w:eastAsia="Arial" w:hAnsi="Arial"/>
          <w:b w:val="false"/>
          <w:bCs w:val="false"/>
          <w:i w:val="false"/>
          <w:iCs w:val="false"/>
          <w:color w:val="000000"/>
          <w:sz w:val="22"/>
          <w:szCs w:val="22"/>
        </w:rPr>
        <w:t xml:space="preserve">The compliance premium for API use in regulated industries often makes self-hosting economically rational at lower volume thresholds than the general break-even analysis suggests. Teams in healthcare, financial services, and legal should model the compliance cost multiplier explicitly in their architecture decisions.</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4.4 The Hybrid Architecture Pattern</w:t>
      </w:r>
    </w:p>
    <w:p>
      <w:pPr>
        <w:spacing w:before="80" w:after="120" w:line="276"/>
        <w:jc w:val="both"/>
      </w:pPr>
      <w:r>
        <w:rPr>
          <w:rFonts w:ascii="Arial" w:cs="Arial" w:eastAsia="Arial" w:hAnsi="Arial"/>
          <w:b w:val="false"/>
          <w:bCs w:val="false"/>
          <w:i w:val="false"/>
          <w:iCs w:val="false"/>
          <w:color w:val="000000"/>
          <w:sz w:val="22"/>
          <w:szCs w:val="22"/>
        </w:rPr>
        <w:t xml:space="preserve">The most sophisticated production deployments in 2026 are hybrid: self-hosted open-weight models handle predictable, high-volume, compliance-sensitive workloads; premium cloud APIs handle peak demand, complex reasoning tasks, and experimentation. This architecture eliminates the false binary of self-host-everything vs API-only, captures the economic advantages of both, and provides resilience through provider independence.</w:t>
      </w:r>
    </w:p>
    <w:p>
      <w:pPr>
        <w:spacing w:before="60" w:after="60"/>
      </w:pPr>
      <w:r>
        <w:t xml:space="preserve"/>
      </w:r>
    </w:p>
    <w:p>
      <w:pPr>
        <w:pStyle w:val="Heading1"/>
        <w:spacing w:before="360" w:after="180"/>
      </w:pPr>
      <w:r>
        <w:rPr>
          <w:rFonts w:ascii="Arial" w:cs="Arial" w:eastAsia="Arial" w:hAnsi="Arial"/>
          <w:b/>
          <w:bCs/>
          <w:color w:val="1F3864"/>
          <w:sz w:val="36"/>
          <w:szCs w:val="36"/>
        </w:rPr>
        <w:t xml:space="preserve">5. Business Model Design and Revenue Architecture</w:t>
      </w:r>
    </w:p>
    <w:p>
      <w:pPr>
        <w:pStyle w:val="Heading2"/>
        <w:spacing w:before="280" w:after="120"/>
      </w:pPr>
      <w:r>
        <w:rPr>
          <w:rFonts w:ascii="Arial" w:cs="Arial" w:eastAsia="Arial" w:hAnsi="Arial"/>
          <w:b/>
          <w:bCs/>
          <w:color w:val="2E74B5"/>
          <w:sz w:val="28"/>
          <w:szCs w:val="28"/>
        </w:rPr>
        <w:t xml:space="preserve">5.1 The Pricing Model Imperative</w:t>
      </w:r>
    </w:p>
    <w:p>
      <w:pPr>
        <w:spacing w:before="80" w:after="120" w:line="276"/>
        <w:jc w:val="both"/>
      </w:pPr>
      <w:r>
        <w:rPr>
          <w:rFonts w:ascii="Arial" w:cs="Arial" w:eastAsia="Arial" w:hAnsi="Arial"/>
          <w:b w:val="false"/>
          <w:bCs w:val="false"/>
          <w:i w:val="false"/>
          <w:iCs w:val="false"/>
          <w:color w:val="000000"/>
          <w:sz w:val="22"/>
          <w:szCs w:val="22"/>
        </w:rPr>
        <w:t xml:space="preserve">Traditional SaaS per-seat pricing creates dangerous misalignment in AI products. A power user executing 1,000 AI queries daily generates 100x the inference cost of a light user — yet both pay identical subscription fees. This asymmetry erodes margins unpredictably and incentivises usage abuse. The 2026 consensus for AI SaaS pricing architecture combines three components:</w:t>
      </w:r>
    </w:p>
    <w:p>
      <w:pPr>
        <w:pStyle w:val="ListParagraph"/>
        <w:numPr>
          <w:ilvl w:val="0"/>
          <w:numId w:val="2"/>
        </w:numPr>
        <w:spacing w:before="60" w:after="60"/>
      </w:pPr>
      <w:r>
        <w:rPr>
          <w:rFonts w:ascii="Arial" w:cs="Arial" w:eastAsia="Arial" w:hAnsi="Arial"/>
          <w:sz w:val="22"/>
          <w:szCs w:val="22"/>
        </w:rPr>
        <w:t xml:space="preserve">Platform fee: $500–$2,000/month for access, support, SLA, and base functionality</w:t>
      </w:r>
    </w:p>
    <w:p>
      <w:pPr>
        <w:pStyle w:val="ListParagraph"/>
        <w:numPr>
          <w:ilvl w:val="0"/>
          <w:numId w:val="2"/>
        </w:numPr>
        <w:spacing w:before="60" w:after="60"/>
      </w:pPr>
      <w:r>
        <w:rPr>
          <w:rFonts w:ascii="Arial" w:cs="Arial" w:eastAsia="Arial" w:hAnsi="Arial"/>
          <w:sz w:val="22"/>
          <w:szCs w:val="22"/>
        </w:rPr>
        <w:t xml:space="preserve">Consumption tier: Usage credits included at tier, with defined overage pricing</w:t>
      </w:r>
    </w:p>
    <w:p>
      <w:pPr>
        <w:pStyle w:val="ListParagraph"/>
        <w:numPr>
          <w:ilvl w:val="0"/>
          <w:numId w:val="2"/>
        </w:numPr>
        <w:spacing w:before="60" w:after="60"/>
      </w:pPr>
      <w:r>
        <w:rPr>
          <w:rFonts w:ascii="Arial" w:cs="Arial" w:eastAsia="Arial" w:hAnsi="Arial"/>
          <w:sz w:val="22"/>
          <w:szCs w:val="22"/>
        </w:rPr>
        <w:t xml:space="preserve">Value capture: Success fees or outcome-based premiums for measurable business impact</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5.2 Revenue Model Taxonomy</w:t>
      </w:r>
    </w:p>
    <w:p>
      <w:pPr>
        <w:spacing w:before="80" w:after="120" w:line="276"/>
        <w:jc w:val="both"/>
      </w:pPr>
      <w:r>
        <w:rPr>
          <w:rFonts w:ascii="Arial" w:cs="Arial" w:eastAsia="Arial" w:hAnsi="Arial"/>
          <w:b w:val="false"/>
          <w:bCs w:val="false"/>
          <w:i w:val="false"/>
          <w:iCs w:val="false"/>
          <w:color w:val="000000"/>
          <w:sz w:val="22"/>
          <w:szCs w:val="22"/>
        </w:rPr>
        <w:t xml:space="preserve">Profitable AI businesses in 2026 deploy multiple revenue streams simultaneously. Enterprise AI startups reaching $2M+ ARR within 12 months and consumer AI ventures hitting $4.2M+ ARR in the same timeframe are characterised by hybrid revenue architecture, not single-stream models.</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700"/>
        <w:gridCol w:w="25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Margin Profile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WTP Signal</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Retention 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Seat/subscription (base)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predictable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access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Switching cost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Usage-based overage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 variable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delivered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Habit formation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contracts (minimums)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committed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reduction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term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Managed services / human-in-loop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high</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Quality assurance need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Operational dependency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&amp; analytics add-ons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 near-zero COGS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intelligence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Proprietary data network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access / developer tier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vs buy decision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depth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templates / marketplace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Time-to-value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Ecosystem lock-in</w:t>
            </w:r>
          </w:p>
        </w:tc>
      </w:tr>
    </w:tbl>
    <w:p>
      <w:pPr>
        <w:spacing w:before="60" w:after="60"/>
      </w:pPr>
      <w:r>
        <w:t xml:space="preserve"/>
      </w:r>
    </w:p>
    <w:p>
      <w:pPr>
        <w:pStyle w:val="Heading2"/>
        <w:spacing w:before="280" w:after="120"/>
      </w:pPr>
      <w:r>
        <w:rPr>
          <w:rFonts w:ascii="Arial" w:cs="Arial" w:eastAsia="Arial" w:hAnsi="Arial"/>
          <w:b/>
          <w:bCs/>
          <w:color w:val="2E74B5"/>
          <w:sz w:val="28"/>
          <w:szCs w:val="28"/>
        </w:rPr>
        <w:t xml:space="preserve">5.3 The LTV Recalculation</w:t>
      </w:r>
    </w:p>
    <w:p>
      <w:pPr>
        <w:spacing w:before="80" w:after="120" w:line="276"/>
        <w:jc w:val="both"/>
      </w:pPr>
      <w:r>
        <w:rPr>
          <w:rFonts w:ascii="Arial" w:cs="Arial" w:eastAsia="Arial" w:hAnsi="Arial"/>
          <w:b w:val="false"/>
          <w:bCs w:val="false"/>
          <w:i w:val="false"/>
          <w:iCs w:val="false"/>
          <w:color w:val="000000"/>
          <w:sz w:val="22"/>
          <w:szCs w:val="22"/>
        </w:rPr>
        <w:t xml:space="preserve">Traditional LTV = ARPU × Gross Margin × Lifetime is insufficient for AI products where inference costs vary per user. The correct formulation for 2026 AI SaaS is:</w:t>
      </w:r>
    </w:p>
    <w:p>
      <w:pPr>
        <w:spacing w:before="80" w:after="120" w:line="276"/>
        <w:jc w:val="both"/>
      </w:pPr>
      <w:r>
        <w:rPr>
          <w:rFonts w:ascii="Arial" w:cs="Arial" w:eastAsia="Arial" w:hAnsi="Arial"/>
          <w:b/>
          <w:bCs/>
          <w:i w:val="false"/>
          <w:iCs w:val="false"/>
          <w:color w:val="000000"/>
          <w:sz w:val="22"/>
          <w:szCs w:val="22"/>
        </w:rPr>
        <w:t xml:space="preserve">AI-Adjusted LTV = Σ (Monthly Revenue − Variable Inference Costs) × Retention Probability per Cohort</w:t>
      </w:r>
    </w:p>
    <w:p>
      <w:pPr>
        <w:spacing w:before="80" w:after="120" w:line="276"/>
        <w:jc w:val="both"/>
      </w:pPr>
      <w:r>
        <w:rPr>
          <w:rFonts w:ascii="Arial" w:cs="Arial" w:eastAsia="Arial" w:hAnsi="Arial"/>
          <w:b w:val="false"/>
          <w:bCs w:val="false"/>
          <w:i w:val="false"/>
          <w:iCs w:val="false"/>
          <w:color w:val="000000"/>
          <w:sz w:val="22"/>
          <w:szCs w:val="22"/>
        </w:rPr>
        <w:t xml:space="preserve">Forward-thinking finance teams track the Inference Efficiency Ratio (IER): revenue generated per dollar of inference cost. Target benchmarks for profitable AI SaaS: IER &gt; 5x at break-even scale; IER &gt; 10x at mature scale; IER &gt; 20x for high-vertical-WTP applications.</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5.4 The Retention Multiplier (What the Margin Tables Miss)</w:t>
      </w:r>
    </w:p>
    <w:p>
      <w:pPr>
        <w:spacing w:before="80" w:after="120" w:line="276"/>
        <w:jc w:val="both"/>
      </w:pPr>
      <w:r>
        <w:rPr>
          <w:rFonts w:ascii="Arial" w:cs="Arial" w:eastAsia="Arial" w:hAnsi="Arial"/>
          <w:b w:val="false"/>
          <w:bCs w:val="false"/>
          <w:i w:val="false"/>
          <w:iCs w:val="false"/>
          <w:color w:val="000000"/>
          <w:sz w:val="22"/>
          <w:szCs w:val="22"/>
        </w:rPr>
        <w:t xml:space="preserve">Churn rate is the most undermodelled variable in AI application economics. A $200/month enterprise seat with 24-month average retention delivers $4,800 LTV before COGS. A $500/month account churning in 3 months delivers $1,500. Revenue architecture that drives retention — deep workflow integration, proprietary data accumulation, team-level features, outcome accountability — is worth more per dollar invested than almost any cost engineering improvement.</w:t>
      </w:r>
    </w:p>
    <w:p>
      <w:pPr>
        <w:spacing w:before="80" w:after="120" w:line="276"/>
        <w:jc w:val="both"/>
      </w:pPr>
      <w:r>
        <w:rPr>
          <w:rFonts w:ascii="Arial" w:cs="Arial" w:eastAsia="Arial" w:hAnsi="Arial"/>
          <w:b w:val="false"/>
          <w:bCs w:val="false"/>
          <w:i w:val="false"/>
          <w:iCs w:val="false"/>
          <w:color w:val="000000"/>
          <w:sz w:val="22"/>
          <w:szCs w:val="22"/>
        </w:rPr>
        <w:t xml:space="preserve">At 81% 3-year failure rate for AI startups, the differentiation is not model capability or pricing cleverness; it is retention discipline. Deep workflow integration (not surface-level chat UIs) is the primary structural driver of retention in vertical AI applications.</w:t>
      </w:r>
    </w:p>
    <w:p>
      <w:pPr>
        <w:spacing w:before="60" w:after="60"/>
      </w:pPr>
      <w:r>
        <w:t xml:space="preserve"/>
      </w:r>
    </w:p>
    <w:p>
      <w:pPr>
        <w:pStyle w:val="Heading1"/>
        <w:spacing w:before="360" w:after="180"/>
      </w:pPr>
      <w:r>
        <w:rPr>
          <w:rFonts w:ascii="Arial" w:cs="Arial" w:eastAsia="Arial" w:hAnsi="Arial"/>
          <w:b/>
          <w:bCs/>
          <w:color w:val="1F3864"/>
          <w:sz w:val="36"/>
          <w:szCs w:val="36"/>
        </w:rPr>
        <w:t xml:space="preserve">6. Unit Economics: Break-Even and Scale Simulation</w:t>
      </w:r>
    </w:p>
    <w:p>
      <w:pPr>
        <w:pStyle w:val="Heading2"/>
        <w:spacing w:before="280" w:after="120"/>
      </w:pPr>
      <w:r>
        <w:rPr>
          <w:rFonts w:ascii="Arial" w:cs="Arial" w:eastAsia="Arial" w:hAnsi="Arial"/>
          <w:b/>
          <w:bCs/>
          <w:color w:val="2E74B5"/>
          <w:sz w:val="28"/>
          <w:szCs w:val="28"/>
        </w:rPr>
        <w:t xml:space="preserve">6.1 Updated Baseline Assumptions (February 2026)</w:t>
      </w:r>
    </w:p>
    <w:p>
      <w:pPr>
        <w:spacing w:before="80" w:after="120" w:line="276"/>
        <w:jc w:val="both"/>
      </w:pPr>
      <w:r>
        <w:rPr>
          <w:rFonts w:ascii="Arial" w:cs="Arial" w:eastAsia="Arial" w:hAnsi="Arial"/>
          <w:b w:val="false"/>
          <w:bCs w:val="false"/>
          <w:i w:val="false"/>
          <w:iCs w:val="false"/>
          <w:color w:val="000000"/>
          <w:sz w:val="22"/>
          <w:szCs w:val="22"/>
        </w:rPr>
        <w:t xml:space="preserve">The following simulation uses current verified pricing. We model a B2B AI application using a hybrid routing architecture (80% budget model / 20% premium model) with prompt caching and RAG implemented. Revenue model: $0.03/request blended (seat subscription + usage).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 Component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Per-Request Cost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Fixed</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model (80% traffic)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$0.000038/req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Flash Lite, 500 tokens avg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Premium model (20% traffic)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$0.000450/req</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GPT-4o Mini, complex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Blended model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$0.000120/req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Post-routing, post-caching savings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Vector DB (Pinecone)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$0.0001/query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$50/month base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RAG retrieval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(Lambda, cache)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~$0.000015/req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$200/month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API gateway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variable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$0.000235/req</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$250/month fixed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Optimised stack</w:t>
            </w:r>
          </w:p>
        </w:tc>
      </w:tr>
    </w:tbl>
    <w:p>
      <w:pPr>
        <w:spacing w:before="60" w:after="60"/>
      </w:pPr>
      <w:r>
        <w:t xml:space="preserve"/>
      </w:r>
    </w:p>
    <w:p>
      <w:pPr>
        <w:pStyle w:val="Heading2"/>
        <w:spacing w:before="280" w:after="120"/>
      </w:pPr>
      <w:r>
        <w:rPr>
          <w:rFonts w:ascii="Arial" w:cs="Arial" w:eastAsia="Arial" w:hAnsi="Arial"/>
          <w:b/>
          <w:bCs/>
          <w:color w:val="2E74B5"/>
          <w:sz w:val="28"/>
          <w:szCs w:val="28"/>
        </w:rPr>
        <w:t xml:space="preserve">6.2 Break-Even and Margin at Scale</w:t>
      </w:r>
    </w:p>
    <w:p>
      <w:pPr>
        <w:spacing w:before="80" w:after="120" w:line="276"/>
        <w:jc w:val="both"/>
      </w:pPr>
      <w:r>
        <w:rPr>
          <w:rFonts w:ascii="Arial" w:cs="Arial" w:eastAsia="Arial" w:hAnsi="Arial"/>
          <w:b w:val="false"/>
          <w:bCs w:val="false"/>
          <w:i w:val="false"/>
          <w:iCs w:val="false"/>
          <w:color w:val="000000"/>
          <w:sz w:val="22"/>
          <w:szCs w:val="22"/>
        </w:rPr>
        <w:t xml:space="preserve">At $0.03/request revenue and $0.000235 variable + $250 fixed monthly cost, the break-even occurs at approximately 8,400 requests/month — dramatically lower than our earlier pre-optimisation estimate of ~17,000 requests/month, demonstrating the real-world impact of the cost engineering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400"/>
        <w:gridCol w:w="1560"/>
        <w:gridCol w:w="16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Requests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Cost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Fixed Cost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Net Margin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Margin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$11.75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$1,238.25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$5,703.00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$29,515.00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98.4%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$1,175.00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$148,575.00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99.2%</w:t>
            </w:r>
          </w:p>
        </w:tc>
      </w:tr>
    </w:tbl>
    <w:p>
      <w:pPr>
        <w:spacing w:before="60" w:after="60"/>
      </w:pPr>
      <w:r>
        <w:t xml:space="preserve"/>
      </w:r>
    </w:p>
    <w:p>
      <w:pPr>
        <w:spacing w:before="80" w:after="120" w:line="276"/>
        <w:jc w:val="both"/>
      </w:pPr>
      <w:r>
        <w:rPr>
          <w:rFonts w:ascii="Arial" w:cs="Arial" w:eastAsia="Arial" w:hAnsi="Arial"/>
          <w:b w:val="false"/>
          <w:bCs w:val="false"/>
          <w:i w:val="false"/>
          <w:iCs w:val="false"/>
          <w:color w:val="000000"/>
          <w:sz w:val="22"/>
          <w:szCs w:val="22"/>
        </w:rPr>
        <w:t xml:space="preserve">The optimised stack transforms the margin profile dramatically compared to naive API usage. The near-99% variable margin at scale reflects the fixed-cost dilution effect plus the fundamental economics of routing — paying $0.00004 per request to a budget model rather than $0.005 to a premium model for 80% of traffic.</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6.3 Sensitivity: Self-Hosting Transition</w:t>
      </w:r>
    </w:p>
    <w:p>
      <w:pPr>
        <w:spacing w:before="80" w:after="120" w:line="276"/>
        <w:jc w:val="both"/>
      </w:pPr>
      <w:r>
        <w:rPr>
          <w:rFonts w:ascii="Arial" w:cs="Arial" w:eastAsia="Arial" w:hAnsi="Arial"/>
          <w:b w:val="false"/>
          <w:bCs w:val="false"/>
          <w:i w:val="false"/>
          <w:iCs w:val="false"/>
          <w:color w:val="000000"/>
          <w:sz w:val="22"/>
          <w:szCs w:val="22"/>
        </w:rPr>
        <w:t xml:space="preserve">At 5 million monthly tokens (premium API equivalent: ~$37,500/month for Claude Sonnet), self-hosting a fine-tuned Qwen-72B on H100 infrastructure (annualised cost including engineering: ~$400K/year = $33K/month) becomes cost-neutral. Above this threshold, every additional million tokens generates $7.50 in savings (vs API) at near-zero additional marginal cost on owned infrastructure. At 100M tokens/month, documented savings reach $5M–$50M annually depending on model tier.</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6.4 The CAC Payback Constraint</w:t>
      </w:r>
    </w:p>
    <w:p>
      <w:pPr>
        <w:spacing w:before="80" w:after="120" w:line="276"/>
        <w:jc w:val="both"/>
      </w:pPr>
      <w:r>
        <w:rPr>
          <w:rFonts w:ascii="Arial" w:cs="Arial" w:eastAsia="Arial" w:hAnsi="Arial"/>
          <w:b w:val="false"/>
          <w:bCs w:val="false"/>
          <w:i w:val="false"/>
          <w:iCs w:val="false"/>
          <w:color w:val="000000"/>
          <w:sz w:val="22"/>
          <w:szCs w:val="22"/>
        </w:rPr>
        <w:t xml:space="preserve">High margins at scale are necessary but not sufficient. The path to scale is constrained by CAC payback period. With gross margins compressed to 55–70% for AI SaaS (vs 78–85% for traditional SaaS), acceptable CAC payback periods extend proportionally. The 2026 benchmark for AI SaaS: LTV:CAC &gt; 3:1 remains the target, but the calculation must use AI-Adjusted LTV incorporating variable inference costs per cohort, not blended ARPU × generic margin.</w:t>
      </w:r>
    </w:p>
    <w:p>
      <w:pPr>
        <w:spacing w:before="60" w:after="60"/>
      </w:pPr>
      <w:r>
        <w:t xml:space="preserve"/>
      </w:r>
    </w:p>
    <w:p>
      <w:pPr>
        <w:pStyle w:val="Heading1"/>
        <w:spacing w:before="360" w:after="180"/>
      </w:pPr>
      <w:r>
        <w:rPr>
          <w:rFonts w:ascii="Arial" w:cs="Arial" w:eastAsia="Arial" w:hAnsi="Arial"/>
          <w:b/>
          <w:bCs/>
          <w:color w:val="1F3864"/>
          <w:sz w:val="36"/>
          <w:szCs w:val="36"/>
        </w:rPr>
        <w:t xml:space="preserve">7. Organisational Schema for AI Product Profitability</w:t>
      </w:r>
    </w:p>
    <w:p>
      <w:pPr>
        <w:pStyle w:val="Heading2"/>
        <w:spacing w:before="280" w:after="120"/>
      </w:pPr>
      <w:r>
        <w:rPr>
          <w:rFonts w:ascii="Arial" w:cs="Arial" w:eastAsia="Arial" w:hAnsi="Arial"/>
          <w:b/>
          <w:bCs/>
          <w:color w:val="2E74B5"/>
          <w:sz w:val="28"/>
          <w:szCs w:val="28"/>
        </w:rPr>
        <w:t xml:space="preserve">7.1 The Automation Ratio Imperative</w:t>
      </w:r>
    </w:p>
    <w:p>
      <w:pPr>
        <w:spacing w:before="80" w:after="120" w:line="276"/>
        <w:jc w:val="both"/>
      </w:pPr>
      <w:r>
        <w:rPr>
          <w:rFonts w:ascii="Arial" w:cs="Arial" w:eastAsia="Arial" w:hAnsi="Arial"/>
          <w:b w:val="false"/>
          <w:bCs w:val="false"/>
          <w:i w:val="false"/>
          <w:iCs w:val="false"/>
          <w:color w:val="000000"/>
          <w:sz w:val="22"/>
          <w:szCs w:val="22"/>
        </w:rPr>
        <w:t xml:space="preserve">In 2026, the most profitable AI businesses are distinguished not primarily by model quality or pricing cleverness but by their Automation Ratio: the proportion of AI output delivered with minimal human oversight. High automation ratio directly determines gross margin. Applications requiring significant human review for every output cannot scale to positive economics — the human cost grows linearly with volume while revenue grows with the same linearity, eliminating the software margin benefit.</w:t>
      </w:r>
    </w:p>
    <w:p>
      <w:pPr>
        <w:spacing w:before="80" w:after="120" w:line="276"/>
        <w:jc w:val="both"/>
      </w:pPr>
      <w:r>
        <w:rPr>
          <w:rFonts w:ascii="Arial" w:cs="Arial" w:eastAsia="Arial" w:hAnsi="Arial"/>
          <w:b w:val="false"/>
          <w:bCs w:val="false"/>
          <w:i w:val="false"/>
          <w:iCs w:val="false"/>
          <w:color w:val="000000"/>
          <w:sz w:val="22"/>
          <w:szCs w:val="22"/>
        </w:rPr>
        <w:t xml:space="preserve">The strategic implication: human-in-the-loop is a launch strategy, not a sustainable business model. Teams must design explicit automation roadmaps with measurable automation ratio targets by quarter.</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7.2 Team Structure for Cost-Efficient AI Products</w:t>
      </w:r>
    </w:p>
    <w:p>
      <w:pPr>
        <w:spacing w:before="80" w:after="120" w:line="276"/>
        <w:jc w:val="both"/>
      </w:pPr>
      <w:r>
        <w:rPr>
          <w:rFonts w:ascii="Arial" w:cs="Arial" w:eastAsia="Arial" w:hAnsi="Arial"/>
          <w:b w:val="false"/>
          <w:bCs w:val="false"/>
          <w:i w:val="false"/>
          <w:iCs w:val="false"/>
          <w:color w:val="000000"/>
          <w:sz w:val="22"/>
          <w:szCs w:val="22"/>
        </w:rPr>
        <w:t xml:space="preserve">AI-native startups are reaching $10M ARR with 15–20 employees, versus 50–70 for traditional SaaS at equivalent revenue — a 3x revenue-per-employee advantage. This compression is enabled by AI augmenting engineering, sales, and operations. The functional structure that supports this:</w:t>
      </w:r>
    </w:p>
    <w:p>
      <w:pPr>
        <w:pStyle w:val="ListParagraph"/>
        <w:numPr>
          <w:ilvl w:val="0"/>
          <w:numId w:val="2"/>
        </w:numPr>
        <w:spacing w:before="60" w:after="60"/>
      </w:pPr>
      <w:r>
        <w:rPr>
          <w:rFonts w:ascii="Arial" w:cs="Arial" w:eastAsia="Arial" w:hAnsi="Arial"/>
          <w:sz w:val="22"/>
          <w:szCs w:val="22"/>
        </w:rPr>
        <w:t xml:space="preserve">AI Engineering (2–4 FTE): Model evaluation, routing architecture, prompt engineering, cost monitoring, inference optimisation</w:t>
      </w:r>
    </w:p>
    <w:p>
      <w:pPr>
        <w:pStyle w:val="ListParagraph"/>
        <w:numPr>
          <w:ilvl w:val="0"/>
          <w:numId w:val="2"/>
        </w:numPr>
        <w:spacing w:before="60" w:after="60"/>
      </w:pPr>
      <w:r>
        <w:rPr>
          <w:rFonts w:ascii="Arial" w:cs="Arial" w:eastAsia="Arial" w:hAnsi="Arial"/>
          <w:sz w:val="22"/>
          <w:szCs w:val="22"/>
        </w:rPr>
        <w:t xml:space="preserve">Product / Domain (1–2 FTE): Vertical workflow design, customer integration, automation ratio ownership</w:t>
      </w:r>
    </w:p>
    <w:p>
      <w:pPr>
        <w:pStyle w:val="ListParagraph"/>
        <w:numPr>
          <w:ilvl w:val="0"/>
          <w:numId w:val="2"/>
        </w:numPr>
        <w:spacing w:before="60" w:after="60"/>
      </w:pPr>
      <w:r>
        <w:rPr>
          <w:rFonts w:ascii="Arial" w:cs="Arial" w:eastAsia="Arial" w:hAnsi="Arial"/>
          <w:sz w:val="22"/>
          <w:szCs w:val="22"/>
        </w:rPr>
        <w:t xml:space="preserve">Data / Evaluation (1 FTE): Quality benchmarking, A/B test infrastructure for model routing decisions, drift detection</w:t>
      </w:r>
    </w:p>
    <w:p>
      <w:pPr>
        <w:pStyle w:val="ListParagraph"/>
        <w:numPr>
          <w:ilvl w:val="0"/>
          <w:numId w:val="2"/>
        </w:numPr>
        <w:spacing w:before="60" w:after="60"/>
      </w:pPr>
      <w:r>
        <w:rPr>
          <w:rFonts w:ascii="Arial" w:cs="Arial" w:eastAsia="Arial" w:hAnsi="Arial"/>
          <w:sz w:val="22"/>
          <w:szCs w:val="22"/>
        </w:rPr>
        <w:t xml:space="preserve">Revenue (1–3 FTE): Account management, enterprise contracts, pricing strategy</w:t>
      </w:r>
    </w:p>
    <w:p>
      <w:pPr>
        <w:pStyle w:val="ListParagraph"/>
        <w:numPr>
          <w:ilvl w:val="0"/>
          <w:numId w:val="2"/>
        </w:numPr>
        <w:spacing w:before="60" w:after="60"/>
      </w:pPr>
      <w:r>
        <w:rPr>
          <w:rFonts w:ascii="Arial" w:cs="Arial" w:eastAsia="Arial" w:hAnsi="Arial"/>
          <w:sz w:val="22"/>
          <w:szCs w:val="22"/>
        </w:rPr>
        <w:t xml:space="preserve">Platform Ops (0.5–1 FTE): Infrastructure, caching, observability, GPU management if self-hosting</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7.3 The Data Moat: Proprietary Data as Capital</w:t>
      </w:r>
    </w:p>
    <w:p>
      <w:pPr>
        <w:spacing w:before="80" w:after="120" w:line="276"/>
        <w:jc w:val="both"/>
      </w:pPr>
      <w:r>
        <w:rPr>
          <w:rFonts w:ascii="Arial" w:cs="Arial" w:eastAsia="Arial" w:hAnsi="Arial"/>
          <w:b w:val="false"/>
          <w:bCs w:val="false"/>
          <w:i w:val="false"/>
          <w:iCs w:val="false"/>
          <w:color w:val="000000"/>
          <w:sz w:val="22"/>
          <w:szCs w:val="22"/>
        </w:rPr>
        <w:t xml:space="preserve">In a world where compute is increasingly commodity, proprietary, high-quality, domain-specific labelled data is the true capital of the 2026 economy. Applications that accumulate proprietary interaction data, correction signals, and domain-specific labels build a compounding advantage that cannot be replicated by competitors with API access to the same foundation models.</w:t>
      </w:r>
    </w:p>
    <w:p>
      <w:pPr>
        <w:spacing w:before="80" w:after="120" w:line="276"/>
        <w:jc w:val="both"/>
      </w:pPr>
      <w:r>
        <w:rPr>
          <w:rFonts w:ascii="Arial" w:cs="Arial" w:eastAsia="Arial" w:hAnsi="Arial"/>
          <w:b w:val="false"/>
          <w:bCs w:val="false"/>
          <w:i w:val="false"/>
          <w:iCs w:val="false"/>
          <w:color w:val="000000"/>
          <w:sz w:val="22"/>
          <w:szCs w:val="22"/>
        </w:rPr>
        <w:t xml:space="preserve">The data flywheel: each customer interaction generates signal → signal improves model quality or routing precision → improved quality increases retention and usage → increased usage generates more signal. Teams that instrument this loop early create defensibility that pure-play model wrappers structurally cannot.</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7.4 FinOps for AI: Cost Attribution Architecture</w:t>
      </w:r>
    </w:p>
    <w:p>
      <w:pPr>
        <w:spacing w:before="80" w:after="120" w:line="276"/>
        <w:jc w:val="both"/>
      </w:pPr>
      <w:r>
        <w:rPr>
          <w:rFonts w:ascii="Arial" w:cs="Arial" w:eastAsia="Arial" w:hAnsi="Arial"/>
          <w:b w:val="false"/>
          <w:bCs w:val="false"/>
          <w:i w:val="false"/>
          <w:iCs w:val="false"/>
          <w:color w:val="000000"/>
          <w:sz w:val="22"/>
          <w:szCs w:val="22"/>
        </w:rPr>
        <w:t xml:space="preserve">Traditional engineering cost allocation (infrastructure as shared overhead) is insufficient for AI applications where inference costs vary 100x by customer and use case. Production-grade AI FinOps requires:</w:t>
      </w:r>
    </w:p>
    <w:p>
      <w:pPr>
        <w:pStyle w:val="ListParagraph"/>
        <w:numPr>
          <w:ilvl w:val="0"/>
          <w:numId w:val="3"/>
        </w:numPr>
        <w:spacing w:before="60" w:after="60"/>
      </w:pPr>
      <w:r>
        <w:rPr>
          <w:rFonts w:ascii="Arial" w:cs="Arial" w:eastAsia="Arial" w:hAnsi="Arial"/>
          <w:sz w:val="22"/>
          <w:szCs w:val="22"/>
        </w:rPr>
        <w:t xml:space="preserve">Per-request token accounting with customer-level attribution</w:t>
      </w:r>
    </w:p>
    <w:p>
      <w:pPr>
        <w:pStyle w:val="ListParagraph"/>
        <w:numPr>
          <w:ilvl w:val="0"/>
          <w:numId w:val="3"/>
        </w:numPr>
        <w:spacing w:before="60" w:after="60"/>
      </w:pPr>
      <w:r>
        <w:rPr>
          <w:rFonts w:ascii="Arial" w:cs="Arial" w:eastAsia="Arial" w:hAnsi="Arial"/>
          <w:sz w:val="22"/>
          <w:szCs w:val="22"/>
        </w:rPr>
        <w:t xml:space="preserve">Cost per workflow type (e.g., document analysis vs summarisation vs generation)</w:t>
      </w:r>
    </w:p>
    <w:p>
      <w:pPr>
        <w:pStyle w:val="ListParagraph"/>
        <w:numPr>
          <w:ilvl w:val="0"/>
          <w:numId w:val="3"/>
        </w:numPr>
        <w:spacing w:before="60" w:after="60"/>
      </w:pPr>
      <w:r>
        <w:rPr>
          <w:rFonts w:ascii="Arial" w:cs="Arial" w:eastAsia="Arial" w:hAnsi="Arial"/>
          <w:sz w:val="22"/>
          <w:szCs w:val="22"/>
        </w:rPr>
        <w:t xml:space="preserve">Margin per customer cohort (not blended average)</w:t>
      </w:r>
    </w:p>
    <w:p>
      <w:pPr>
        <w:pStyle w:val="ListParagraph"/>
        <w:numPr>
          <w:ilvl w:val="0"/>
          <w:numId w:val="3"/>
        </w:numPr>
        <w:spacing w:before="60" w:after="60"/>
      </w:pPr>
      <w:r>
        <w:rPr>
          <w:rFonts w:ascii="Arial" w:cs="Arial" w:eastAsia="Arial" w:hAnsi="Arial"/>
          <w:sz w:val="22"/>
          <w:szCs w:val="22"/>
        </w:rPr>
        <w:t xml:space="preserve">Inference Efficiency Ratio monitoring by feature</w:t>
      </w:r>
    </w:p>
    <w:p>
      <w:pPr>
        <w:pStyle w:val="ListParagraph"/>
        <w:numPr>
          <w:ilvl w:val="0"/>
          <w:numId w:val="3"/>
        </w:numPr>
        <w:spacing w:before="60" w:after="60"/>
      </w:pPr>
      <w:r>
        <w:rPr>
          <w:rFonts w:ascii="Arial" w:cs="Arial" w:eastAsia="Arial" w:hAnsi="Arial"/>
          <w:sz w:val="22"/>
          <w:szCs w:val="22"/>
        </w:rPr>
        <w:t xml:space="preserve">Automated spend alerts and kill-switches for runaway agent loops</w:t>
      </w:r>
    </w:p>
    <w:p>
      <w:pPr>
        <w:pStyle w:val="ListParagraph"/>
        <w:numPr>
          <w:ilvl w:val="0"/>
          <w:numId w:val="3"/>
        </w:numPr>
        <w:spacing w:before="60" w:after="60"/>
      </w:pPr>
      <w:r>
        <w:rPr>
          <w:rFonts w:ascii="Arial" w:cs="Arial" w:eastAsia="Arial" w:hAnsi="Arial"/>
          <w:sz w:val="22"/>
          <w:szCs w:val="22"/>
        </w:rPr>
        <w:t xml:space="preserve">Real-time cost anomaly detection (idle GPU sprawl, overprovisioned clusters)</w:t>
      </w:r>
    </w:p>
    <w:p>
      <w:pPr>
        <w:spacing w:before="60" w:after="60"/>
      </w:pPr>
      <w:r>
        <w:t xml:space="preserve"/>
      </w:r>
    </w:p>
    <w:p>
      <w:pPr>
        <w:spacing w:before="80" w:after="120" w:line="276"/>
        <w:jc w:val="both"/>
      </w:pPr>
      <w:r>
        <w:rPr>
          <w:rFonts w:ascii="Arial" w:cs="Arial" w:eastAsia="Arial" w:hAnsi="Arial"/>
          <w:b w:val="false"/>
          <w:bCs w:val="false"/>
          <w:i w:val="false"/>
          <w:iCs w:val="false"/>
          <w:color w:val="000000"/>
          <w:sz w:val="22"/>
          <w:szCs w:val="22"/>
        </w:rPr>
        <w:t xml:space="preserve">Organisations implementing systematic AI FinOps report 30–50% savings potential identified versus ad-hoc cost management. The discipline converts AI from cost centre to measurable profit driver with clear P&amp;L attribution.</w:t>
      </w:r>
    </w:p>
    <w:p>
      <w:pPr>
        <w:spacing w:before="60" w:after="60"/>
      </w:pPr>
      <w:r>
        <w:t xml:space="preserve"/>
      </w:r>
    </w:p>
    <w:p>
      <w:pPr>
        <w:pStyle w:val="Heading1"/>
        <w:spacing w:before="360" w:after="180"/>
      </w:pPr>
      <w:r>
        <w:rPr>
          <w:rFonts w:ascii="Arial" w:cs="Arial" w:eastAsia="Arial" w:hAnsi="Arial"/>
          <w:b/>
          <w:bCs/>
          <w:color w:val="1F3864"/>
          <w:sz w:val="36"/>
          <w:szCs w:val="36"/>
        </w:rPr>
        <w:t xml:space="preserve">8. Open Questions and Research Agenda</w:t>
      </w:r>
    </w:p>
    <w:p>
      <w:pPr>
        <w:spacing w:before="80" w:after="120" w:line="276"/>
        <w:jc w:val="both"/>
      </w:pPr>
      <w:r>
        <w:rPr>
          <w:rFonts w:ascii="Arial" w:cs="Arial" w:eastAsia="Arial" w:hAnsi="Arial"/>
          <w:b w:val="false"/>
          <w:bCs w:val="false"/>
          <w:i w:val="false"/>
          <w:iCs w:val="false"/>
          <w:color w:val="000000"/>
          <w:sz w:val="22"/>
          <w:szCs w:val="22"/>
        </w:rPr>
        <w:t xml:space="preserve">This paper establishes the current empirical foundation. Several high-value research questions remain open and represent opportunities for practitioners to develop defensible knowledge advantages:</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8.1 Routing Threshold Optimisation</w:t>
      </w:r>
    </w:p>
    <w:p>
      <w:pPr>
        <w:spacing w:before="80" w:after="120" w:line="276"/>
        <w:jc w:val="both"/>
      </w:pPr>
      <w:r>
        <w:rPr>
          <w:rFonts w:ascii="Arial" w:cs="Arial" w:eastAsia="Arial" w:hAnsi="Arial"/>
          <w:b w:val="false"/>
          <w:bCs w:val="false"/>
          <w:i w:val="false"/>
          <w:iCs w:val="false"/>
          <w:color w:val="000000"/>
          <w:sz w:val="22"/>
          <w:szCs w:val="22"/>
        </w:rPr>
        <w:t xml:space="preserve">Current routing architectures use hand-tuned confidence thresholds to decide when to escalate from budget to premium models. There is no published research on optimal threshold calibration by domain, task type, or acceptable error rate. A systematic study comparing routing accuracy, cost, and downstream output quality across verticals would provide actionable design specifications.</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8.2 Churn Prediction from Inference Patterns</w:t>
      </w:r>
    </w:p>
    <w:p>
      <w:pPr>
        <w:spacing w:before="80" w:after="120" w:line="276"/>
        <w:jc w:val="both"/>
      </w:pPr>
      <w:r>
        <w:rPr>
          <w:rFonts w:ascii="Arial" w:cs="Arial" w:eastAsia="Arial" w:hAnsi="Arial"/>
          <w:b w:val="false"/>
          <w:bCs w:val="false"/>
          <w:i w:val="false"/>
          <w:iCs w:val="false"/>
          <w:color w:val="000000"/>
          <w:sz w:val="22"/>
          <w:szCs w:val="22"/>
        </w:rPr>
        <w:t xml:space="preserve">Usage patterns (declining inference volume, shifting to simpler queries, reduced session depth) likely predict churn before explicit disengagement. Research linking inference telemetry to churn probability could enable proactive retention intervention at a specificity not possible with traditional product analytics.</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8.3 Fine-Tuning vs Prompting Economics at Scale</w:t>
      </w:r>
    </w:p>
    <w:p>
      <w:pPr>
        <w:spacing w:before="80" w:after="120" w:line="276"/>
        <w:jc w:val="both"/>
      </w:pPr>
      <w:r>
        <w:rPr>
          <w:rFonts w:ascii="Arial" w:cs="Arial" w:eastAsia="Arial" w:hAnsi="Arial"/>
          <w:b w:val="false"/>
          <w:bCs w:val="false"/>
          <w:i w:val="false"/>
          <w:iCs w:val="false"/>
          <w:color w:val="000000"/>
          <w:sz w:val="22"/>
          <w:szCs w:val="22"/>
        </w:rPr>
        <w:t xml:space="preserve">The cost-performance frontier between (a) prompting a large model with detailed instructions, (b) prompting a medium model with extensive few-shot examples, and (c) fine-tuning a small model for the specific domain has not been systematically mapped across cost dimensions. A controlled comparative study would clarify when fine-tuning investment is economically justified.</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8.4 Quantisation Quality Degradation by Domain</w:t>
      </w:r>
    </w:p>
    <w:p>
      <w:pPr>
        <w:spacing w:before="80" w:after="120" w:line="276"/>
        <w:jc w:val="both"/>
      </w:pPr>
      <w:r>
        <w:rPr>
          <w:rFonts w:ascii="Arial" w:cs="Arial" w:eastAsia="Arial" w:hAnsi="Arial"/>
          <w:b w:val="false"/>
          <w:bCs w:val="false"/>
          <w:i w:val="false"/>
          <w:iCs w:val="false"/>
          <w:color w:val="000000"/>
          <w:sz w:val="22"/>
          <w:szCs w:val="22"/>
        </w:rPr>
        <w:t xml:space="preserve">4-bit quantisation is reported to show 'no visible quality loss' on standard benchmarks, but standard benchmarks (MMLU, HumanEval, MATH) may not capture domain-specific quality degradation in legal reasoning, medical summarisation, or financial analysis. Vertical-specific quality audits of quantised models are an understudied area.</w:t>
      </w:r>
    </w:p>
    <w:p>
      <w:pPr>
        <w:spacing w:before="60" w:after="60"/>
      </w:pPr>
      <w:r>
        <w:t xml:space="preserve"/>
      </w:r>
    </w:p>
    <w:p>
      <w:pPr>
        <w:pStyle w:val="Heading2"/>
        <w:spacing w:before="280" w:after="120"/>
      </w:pPr>
      <w:r>
        <w:rPr>
          <w:rFonts w:ascii="Arial" w:cs="Arial" w:eastAsia="Arial" w:hAnsi="Arial"/>
          <w:b/>
          <w:bCs/>
          <w:color w:val="2E74B5"/>
          <w:sz w:val="28"/>
          <w:szCs w:val="28"/>
        </w:rPr>
        <w:t xml:space="preserve">8.5 Inference Cost Trajectory Forecasting</w:t>
      </w:r>
    </w:p>
    <w:p>
      <w:pPr>
        <w:spacing w:before="80" w:after="120" w:line="276"/>
        <w:jc w:val="both"/>
      </w:pPr>
      <w:r>
        <w:rPr>
          <w:rFonts w:ascii="Arial" w:cs="Arial" w:eastAsia="Arial" w:hAnsi="Arial"/>
          <w:b w:val="false"/>
          <w:bCs w:val="false"/>
          <w:i w:val="false"/>
          <w:iCs w:val="false"/>
          <w:color w:val="000000"/>
          <w:sz w:val="22"/>
          <w:szCs w:val="22"/>
        </w:rPr>
        <w:t xml:space="preserve">If inference costs continue declining at historical rates (10x annually), the self-hosting vs API break-even calculation shifts fundamentally over 12–18 month planning horizons. Models that predict infrastructure investment amortisation under various cost deflation scenarios would improve capital allocation decisions for teams planning at the 2–3 year horizon.</w:t>
      </w:r>
    </w:p>
    <w:p>
      <w:pPr>
        <w:spacing w:before="60" w:after="60"/>
      </w:pPr>
      <w:r>
        <w:t xml:space="preserve"/>
      </w:r>
    </w:p>
    <w:p>
      <w:pPr>
        <w:pStyle w:val="Heading1"/>
        <w:spacing w:before="360" w:after="180"/>
      </w:pPr>
      <w:r>
        <w:rPr>
          <w:rFonts w:ascii="Arial" w:cs="Arial" w:eastAsia="Arial" w:hAnsi="Arial"/>
          <w:b/>
          <w:bCs/>
          <w:color w:val="1F3864"/>
          <w:sz w:val="36"/>
          <w:szCs w:val="36"/>
        </w:rPr>
        <w:t xml:space="preserve">9. Conclusions</w:t>
      </w:r>
    </w:p>
    <w:p>
      <w:pPr>
        <w:spacing w:before="80" w:after="120" w:line="276"/>
        <w:jc w:val="both"/>
      </w:pPr>
      <w:r>
        <w:rPr>
          <w:rFonts w:ascii="Arial" w:cs="Arial" w:eastAsia="Arial" w:hAnsi="Arial"/>
          <w:b w:val="false"/>
          <w:bCs w:val="false"/>
          <w:i w:val="false"/>
          <w:iCs w:val="false"/>
          <w:color w:val="000000"/>
          <w:sz w:val="22"/>
          <w:szCs w:val="22"/>
        </w:rPr>
        <w:t xml:space="preserve">The profitability architecture for AI applications in 2026 is well-understood empirically. The research synthesised in this paper supports the following actionable conclusions:</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Cost engineering is a first-class engineering discipline. Organisations treating inference cost as infrastructure overhead rather than a managed product dimension routinely overspend by 5–20x. The optimised stack (routing + caching + RAG + output discipline) delivers 60–98% cost reduction — not theoretical but documented in production.</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Model selection is the highest-leverage single decision. For 70–80% of production workloads, mid-tier models perform identically to premium models. The discipline of A/B testing cheaper models before committing to expensive ones is a practice differentiator, not a best practice.</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Self-hosting should be earned through volume, not assumed. The break-even for premium API replacement is 5–10M tokens/month; for budget APIs, 50–100M tokens/month. Engineering labour is the dominant cost factor at smaller scales, often exceeding GPU costs 2–3x. Start with API, optimise aggressively, then evaluate self-hosting with full TCO transparency.</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Business model design matters more than technology. Per-seat-only pricing creates structural margin erosion in AI products. Hybrid models (platform fee + usage tier + value capture) align incentives and protect margins. Enterprise minimums and committed revenue remain the most powerful financial engineering tools available.</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Retention is the economic multiplier the margin tables do not show. At 81% 3-year failure rate for AI startups, survival and profitability are driven by retention, which is driven by workflow depth and proprietary data accumulation — not by model capability or pricing sophistication.</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The 2026 opportunity is vertical specificity. The 'wrapper era' has collapsed under commoditisation. Profitable applications are those that own a specific workflow, accumulate domain-specific data, and integrate deeply enough that switching costs are real. Vertical AI solutions command LLM vendor revenue multiples of 44.1x versus traditional software's 12x — the market has priced specialisation.</w:t>
      </w:r>
    </w:p>
    <w:p>
      <w:pPr>
        <w:spacing w:before="60" w:after="60"/>
      </w:pPr>
      <w:r>
        <w:t xml:space="preserve"/>
      </w:r>
    </w:p>
    <w:p>
      <w:pPr>
        <w:spacing w:before="80" w:after="120" w:line="276"/>
        <w:jc w:val="both"/>
      </w:pPr>
      <w:r>
        <w:rPr>
          <w:rFonts w:ascii="Arial" w:cs="Arial" w:eastAsia="Arial" w:hAnsi="Arial"/>
          <w:b w:val="false"/>
          <w:bCs w:val="false"/>
          <w:i w:val="false"/>
          <w:iCs w:val="false"/>
          <w:color w:val="000000"/>
          <w:sz w:val="22"/>
          <w:szCs w:val="22"/>
        </w:rPr>
        <w:t xml:space="preserve">The economics of AI application development in 2026 are fundamentally knowable, measurable, and manageable. The uncertainty that justified 'move fast and figure out margins later' has been resolved by two years of production data. Profitability is now an engineering and product design problem, not a market timing question.</w:t>
      </w:r>
    </w:p>
    <w:p>
      <w:pPr>
        <w:spacing w:before="60" w:after="60"/>
      </w:pPr>
      <w:r>
        <w:t xml:space="preserve"/>
      </w:r>
    </w:p>
    <w:p>
      <w:pPr>
        <w:pStyle w:val="Heading1"/>
        <w:spacing w:before="360" w:after="180"/>
      </w:pPr>
      <w:r>
        <w:rPr>
          <w:rFonts w:ascii="Arial" w:cs="Arial" w:eastAsia="Arial" w:hAnsi="Arial"/>
          <w:b/>
          <w:bCs/>
          <w:color w:val="1F3864"/>
          <w:sz w:val="36"/>
          <w:szCs w:val="36"/>
        </w:rPr>
        <w:t xml:space="preserve">References</w:t>
      </w:r>
    </w:p>
    <w:p>
      <w:pPr>
        <w:spacing w:before="80" w:after="120" w:line="276"/>
        <w:jc w:val="both"/>
      </w:pPr>
      <w:r>
        <w:rPr>
          <w:rFonts w:ascii="Arial" w:cs="Arial" w:eastAsia="Arial" w:hAnsi="Arial"/>
          <w:b w:val="false"/>
          <w:bCs w:val="false"/>
          <w:i w:val="false"/>
          <w:iCs w:val="false"/>
          <w:color w:val="000000"/>
          <w:sz w:val="22"/>
          <w:szCs w:val="22"/>
        </w:rPr>
        <w:t xml:space="preserve">All sources verified February 2026.</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Cloudidr. Complete LLM Pricing Comparison 2026: We Analyzed 60+ Models. cloudidr.com/blog/llm-pricing-comparison-2026, January 2026.</w:t>
      </w:r>
    </w:p>
    <w:p>
      <w:pPr>
        <w:pStyle w:val="ListParagraph"/>
        <w:numPr>
          <w:ilvl w:val="0"/>
          <w:numId w:val="2"/>
        </w:numPr>
        <w:spacing w:before="60" w:after="60"/>
      </w:pPr>
      <w:r>
        <w:rPr>
          <w:rFonts w:ascii="Arial" w:cs="Arial" w:eastAsia="Arial" w:hAnsi="Arial"/>
          <w:sz w:val="22"/>
          <w:szCs w:val="22"/>
        </w:rPr>
        <w:t xml:space="preserve">Cloudidr. LLM API Pricing 2026: OpenAI vs Anthropic vs Gemini. cloudidr.com/llm-pricing, January 2026.</w:t>
      </w:r>
    </w:p>
    <w:p>
      <w:pPr>
        <w:pStyle w:val="ListParagraph"/>
        <w:numPr>
          <w:ilvl w:val="0"/>
          <w:numId w:val="2"/>
        </w:numPr>
        <w:spacing w:before="60" w:after="60"/>
      </w:pPr>
      <w:r>
        <w:rPr>
          <w:rFonts w:ascii="Arial" w:cs="Arial" w:eastAsia="Arial" w:hAnsi="Arial"/>
          <w:sz w:val="22"/>
          <w:szCs w:val="22"/>
        </w:rPr>
        <w:t xml:space="preserve">IntuitionLabs. AI API Pricing Comparison (2026): Grok vs Gemini vs GPT-4o vs Claude. intuitionlabs.ai, February 2026.</w:t>
      </w:r>
    </w:p>
    <w:p>
      <w:pPr>
        <w:pStyle w:val="ListParagraph"/>
        <w:numPr>
          <w:ilvl w:val="0"/>
          <w:numId w:val="2"/>
        </w:numPr>
        <w:spacing w:before="60" w:after="60"/>
      </w:pPr>
      <w:r>
        <w:rPr>
          <w:rFonts w:ascii="Arial" w:cs="Arial" w:eastAsia="Arial" w:hAnsi="Arial"/>
          <w:sz w:val="22"/>
          <w:szCs w:val="22"/>
        </w:rPr>
        <w:t xml:space="preserve">Van Riel, Z. LLM API Cost Comparison 2026: Complete Pricing Guide for Production AI. zenvanriel.nl, February 2026.</w:t>
      </w:r>
    </w:p>
    <w:p>
      <w:pPr>
        <w:pStyle w:val="ListParagraph"/>
        <w:numPr>
          <w:ilvl w:val="0"/>
          <w:numId w:val="2"/>
        </w:numPr>
        <w:spacing w:before="60" w:after="60"/>
      </w:pPr>
      <w:r>
        <w:rPr>
          <w:rFonts w:ascii="Arial" w:cs="Arial" w:eastAsia="Arial" w:hAnsi="Arial"/>
          <w:sz w:val="22"/>
          <w:szCs w:val="22"/>
        </w:rPr>
        <w:t xml:space="preserve">Getmonetizely. The Economics of AI-First B2B SaaS in 2026: Margins, Pricing Models, and Profitability. getmonetizely.com, December 2025.</w:t>
      </w:r>
    </w:p>
    <w:p>
      <w:pPr>
        <w:pStyle w:val="ListParagraph"/>
        <w:numPr>
          <w:ilvl w:val="0"/>
          <w:numId w:val="2"/>
        </w:numPr>
        <w:spacing w:before="60" w:after="60"/>
      </w:pPr>
      <w:r>
        <w:rPr>
          <w:rFonts w:ascii="Arial" w:cs="Arial" w:eastAsia="Arial" w:hAnsi="Arial"/>
          <w:sz w:val="22"/>
          <w:szCs w:val="22"/>
        </w:rPr>
        <w:t xml:space="preserve">Wearepresta. 20 Profitable AI Business Ideas for 2026. wearepresta.com, January 2026.</w:t>
      </w:r>
    </w:p>
    <w:p>
      <w:pPr>
        <w:pStyle w:val="ListParagraph"/>
        <w:numPr>
          <w:ilvl w:val="0"/>
          <w:numId w:val="2"/>
        </w:numPr>
        <w:spacing w:before="60" w:after="60"/>
      </w:pPr>
      <w:r>
        <w:rPr>
          <w:rFonts w:ascii="Arial" w:cs="Arial" w:eastAsia="Arial" w:hAnsi="Arial"/>
          <w:sz w:val="22"/>
          <w:szCs w:val="22"/>
        </w:rPr>
        <w:t xml:space="preserve">Wearepresta. Build an AI Startup in 2026: Step-by-Step Blueprint. wearepresta.com, December 2025.</w:t>
      </w:r>
    </w:p>
    <w:p>
      <w:pPr>
        <w:pStyle w:val="ListParagraph"/>
        <w:numPr>
          <w:ilvl w:val="0"/>
          <w:numId w:val="2"/>
        </w:numPr>
        <w:spacing w:before="60" w:after="60"/>
      </w:pPr>
      <w:r>
        <w:rPr>
          <w:rFonts w:ascii="Arial" w:cs="Arial" w:eastAsia="Arial" w:hAnsi="Arial"/>
          <w:sz w:val="22"/>
          <w:szCs w:val="22"/>
        </w:rPr>
        <w:t xml:space="preserve">Augusto Digital. 2026 AI Trends: Open-Source LLM Strategy for Growing Companies. augusto.digital, December 2025.</w:t>
      </w:r>
    </w:p>
    <w:p>
      <w:pPr>
        <w:pStyle w:val="ListParagraph"/>
        <w:numPr>
          <w:ilvl w:val="0"/>
          <w:numId w:val="2"/>
        </w:numPr>
        <w:spacing w:before="60" w:after="60"/>
      </w:pPr>
      <w:r>
        <w:rPr>
          <w:rFonts w:ascii="Arial" w:cs="Arial" w:eastAsia="Arial" w:hAnsi="Arial"/>
          <w:sz w:val="22"/>
          <w:szCs w:val="22"/>
        </w:rPr>
        <w:t xml:space="preserve">AI Pricing Master. Self-Hosting AI Models vs API Pricing: Complete Cost Analysis (2026). aipricingmaster.com, January 2026.</w:t>
      </w:r>
    </w:p>
    <w:p>
      <w:pPr>
        <w:pStyle w:val="ListParagraph"/>
        <w:numPr>
          <w:ilvl w:val="0"/>
          <w:numId w:val="2"/>
        </w:numPr>
        <w:spacing w:before="60" w:after="60"/>
      </w:pPr>
      <w:r>
        <w:rPr>
          <w:rFonts w:ascii="Arial" w:cs="Arial" w:eastAsia="Arial" w:hAnsi="Arial"/>
          <w:sz w:val="22"/>
          <w:szCs w:val="22"/>
        </w:rPr>
        <w:t xml:space="preserve">Introl. Inference Unit Economics: The True Cost Per Million Tokens. introl.com, February 2026.</w:t>
      </w:r>
    </w:p>
    <w:p>
      <w:pPr>
        <w:pStyle w:val="ListParagraph"/>
        <w:numPr>
          <w:ilvl w:val="0"/>
          <w:numId w:val="2"/>
        </w:numPr>
        <w:spacing w:before="60" w:after="60"/>
      </w:pPr>
      <w:r>
        <w:rPr>
          <w:rFonts w:ascii="Arial" w:cs="Arial" w:eastAsia="Arial" w:hAnsi="Arial"/>
          <w:sz w:val="22"/>
          <w:szCs w:val="22"/>
        </w:rPr>
        <w:t xml:space="preserve">Ptolemay. LLM Total Cost of Ownership 2025: Build vs Buy Math. ptolemay.com, 2025.</w:t>
      </w:r>
    </w:p>
    <w:p>
      <w:pPr>
        <w:pStyle w:val="ListParagraph"/>
        <w:numPr>
          <w:ilvl w:val="0"/>
          <w:numId w:val="2"/>
        </w:numPr>
        <w:spacing w:before="60" w:after="60"/>
      </w:pPr>
      <w:r>
        <w:rPr>
          <w:rFonts w:ascii="Arial" w:cs="Arial" w:eastAsia="Arial" w:hAnsi="Arial"/>
          <w:sz w:val="22"/>
          <w:szCs w:val="22"/>
        </w:rPr>
        <w:t xml:space="preserve">Premai Blog. Self-Hosted LLM Guide: Setup, Tools &amp; Cost Comparison (2026). blog.premai.io, February 2026.</w:t>
      </w:r>
    </w:p>
    <w:p>
      <w:pPr>
        <w:pStyle w:val="ListParagraph"/>
        <w:numPr>
          <w:ilvl w:val="0"/>
          <w:numId w:val="2"/>
        </w:numPr>
        <w:spacing w:before="60" w:after="60"/>
      </w:pPr>
      <w:r>
        <w:rPr>
          <w:rFonts w:ascii="Arial" w:cs="Arial" w:eastAsia="Arial" w:hAnsi="Arial"/>
          <w:sz w:val="22"/>
          <w:szCs w:val="22"/>
        </w:rPr>
        <w:t xml:space="preserve">Unified AI Hub. Economics of AI: Optimizing Token-Based Costs. unifiedaihub.com, December 2025.</w:t>
      </w:r>
    </w:p>
    <w:p>
      <w:pPr>
        <w:pStyle w:val="ListParagraph"/>
        <w:numPr>
          <w:ilvl w:val="0"/>
          <w:numId w:val="2"/>
        </w:numPr>
        <w:spacing w:before="60" w:after="60"/>
      </w:pPr>
      <w:r>
        <w:rPr>
          <w:rFonts w:ascii="Arial" w:cs="Arial" w:eastAsia="Arial" w:hAnsi="Arial"/>
          <w:sz w:val="22"/>
          <w:szCs w:val="22"/>
        </w:rPr>
        <w:t xml:space="preserve">Second Talent. 7 Key Success Factors for AI Startups in 2026. secondtalent.com, October 2025.</w:t>
      </w:r>
    </w:p>
    <w:p>
      <w:pPr>
        <w:pStyle w:val="ListParagraph"/>
        <w:numPr>
          <w:ilvl w:val="0"/>
          <w:numId w:val="2"/>
        </w:numPr>
        <w:spacing w:before="60" w:after="60"/>
      </w:pPr>
      <w:r>
        <w:rPr>
          <w:rFonts w:ascii="Arial" w:cs="Arial" w:eastAsia="Arial" w:hAnsi="Arial"/>
          <w:sz w:val="22"/>
          <w:szCs w:val="22"/>
        </w:rPr>
        <w:t xml:space="preserve">LLM Stats. AI Trends 2026 — LLM Statistics &amp; Industry Insights. llm-stats.com, February 2026.</w:t>
      </w:r>
    </w:p>
    <w:p>
      <w:pPr>
        <w:pStyle w:val="ListParagraph"/>
        <w:numPr>
          <w:ilvl w:val="0"/>
          <w:numId w:val="2"/>
        </w:numPr>
        <w:spacing w:before="60" w:after="60"/>
      </w:pPr>
      <w:r>
        <w:rPr>
          <w:rFonts w:ascii="Arial" w:cs="Arial" w:eastAsia="Arial" w:hAnsi="Arial"/>
          <w:sz w:val="22"/>
          <w:szCs w:val="22"/>
        </w:rPr>
        <w:t xml:space="preserve">Arxiv 2601.09527. Private LLM Inference on Consumer Blackwell GPUs: A Practical Guide for Cost-Effective Local Deployment in SMEs. January 2026.</w:t>
      </w:r>
    </w:p>
    <w:p>
      <w:pPr>
        <w:pStyle w:val="ListParagraph"/>
        <w:numPr>
          <w:ilvl w:val="0"/>
          <w:numId w:val="2"/>
        </w:numPr>
        <w:spacing w:before="60" w:after="60"/>
      </w:pPr>
      <w:r>
        <w:rPr>
          <w:rFonts w:ascii="Arial" w:cs="Arial" w:eastAsia="Arial" w:hAnsi="Arial"/>
          <w:sz w:val="22"/>
          <w:szCs w:val="22"/>
        </w:rPr>
        <w:t xml:space="preserve">Stanford AI Index 2025. Inference costs for GPT-3.5-class models fell 280-fold between 2020 and 2024.</w:t>
      </w:r>
    </w:p>
    <w:p>
      <w:pPr>
        <w:pStyle w:val="ListParagraph"/>
        <w:numPr>
          <w:ilvl w:val="0"/>
          <w:numId w:val="2"/>
        </w:numPr>
        <w:spacing w:before="60" w:after="60"/>
      </w:pPr>
      <w:r>
        <w:rPr>
          <w:rFonts w:ascii="Arial" w:cs="Arial" w:eastAsia="Arial" w:hAnsi="Arial"/>
          <w:sz w:val="22"/>
          <w:szCs w:val="22"/>
        </w:rPr>
        <w:t xml:space="preserve">Kong Inc. 2025 Enterprise AI Report. 44% of organizations cite data privacy as top barrier to LLM adoption.</w:t>
      </w:r>
    </w:p>
    <w:p>
      <w:pPr>
        <w:pStyle w:val="ListParagraph"/>
        <w:numPr>
          <w:ilvl w:val="0"/>
          <w:numId w:val="2"/>
        </w:numPr>
        <w:spacing w:before="60" w:after="60"/>
      </w:pPr>
      <w:r>
        <w:rPr>
          <w:rFonts w:ascii="Arial" w:cs="Arial" w:eastAsia="Arial" w:hAnsi="Arial"/>
          <w:sz w:val="22"/>
          <w:szCs w:val="22"/>
        </w:rPr>
        <w:t xml:space="preserve">McKinsey &amp; Company. State of AI Survey 2025.</w:t>
      </w:r>
    </w:p>
    <w:p>
      <w:pPr>
        <w:pStyle w:val="ListParagraph"/>
        <w:numPr>
          <w:ilvl w:val="0"/>
          <w:numId w:val="2"/>
        </w:numPr>
        <w:spacing w:before="60" w:after="60"/>
      </w:pPr>
      <w:r>
        <w:rPr>
          <w:rFonts w:ascii="Arial" w:cs="Arial" w:eastAsia="Arial" w:hAnsi="Arial"/>
          <w:sz w:val="22"/>
          <w:szCs w:val="22"/>
        </w:rPr>
        <w:t xml:space="preserve">MIT Study on Generative AI in Business. Generic AI tools fail to deliver outcomes without tailored workflows. 2025.</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2026-02-17T23:29:44.642Z</dcterms:created>
  <dcterms:modified xsi:type="dcterms:W3CDTF">2026-02-17T23:29:44.643Z</dcterms:modified>
</cp:coreProperties>
</file>

<file path=docProps/custom.xml><?xml version="1.0" encoding="utf-8"?>
<Properties xmlns="http://schemas.openxmlformats.org/officeDocument/2006/custom-properties" xmlns:vt="http://schemas.openxmlformats.org/officeDocument/2006/docPropsVTypes"/>
</file>