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Mathematical Frameworks for Multi-Dimensional Skill Representation and Emergent Pattern Detection in AI Assistant Systems</w:t>
      </w:r>
    </w:p>
    <w:p>
      <w:pPr>
        <w:spacing w:after="240"/>
        <w:jc w:val="center"/>
      </w:pPr>
      <w:r>
        <w:rPr>
          <w:sz w:val="24"/>
          <w:szCs w:val="24"/>
        </w:rPr>
        <w:t xml:space="preserve">Research Synthesis: Advances in AI Orchestration and Skill Integration</w:t>
      </w:r>
    </w:p>
    <w:p>
      <w:pPr>
        <w:spacing w:after="480"/>
        <w:jc w:val="center"/>
      </w:pPr>
      <w:r>
        <w:rPr>
          <w:i/>
          <w:iCs/>
          <w:sz w:val="22"/>
          <w:szCs w:val="22"/>
        </w:rPr>
        <w:t xml:space="preserve">February 2026</w:t>
      </w:r>
    </w:p>
    <w:p>
      <w:pPr>
        <w:pStyle w:val="Abstract"/>
      </w:pPr>
      <w:r>
        <w:rPr>
          <w:b/>
          <w:bCs/>
        </w:rPr>
        <w:t xml:space="preserve">Abstract: </w:t>
      </w:r>
      <w:r>
        <w:t xml:space="preserve">This paper presents a comprehensive mathematical framework for representing, detecting, and orchestrating multi-dimensional skills in AI assistant systems. Drawing on recent advances in agentic AI (2024-2025), we introduce tensor-based skill representations, emergent pattern detection algorithms, and orchestration protocols that enable autonomous skill synthesis. We formalize skills as vectors in high-dimensional capability spaces and demonstrate how synergistic interactions can be mathematically modeled through tensor products and belief propagation networks. Our framework achieves O(√t log t) complexity scaling for large-scale multi-agent systems while maintaining sub-linear memory usage through gradient low-rank projection techniques. We validate our approach through analysis of real-world implementations including IBM watsonx Orchestrate, Microsoft Azure AI Foundry, and emergent multi-agent frameworks, showing 30-50% improvements in mean time to resolution and 20x faster application processing in financial services use cases.</w:t>
      </w:r>
    </w:p>
    <w:p>
      <w:pPr>
        <w:spacing w:after="240"/>
      </w:pPr>
    </w:p>
    <w:p>
      <w:pPr>
        <w:spacing w:after="480"/>
      </w:pPr>
      <w:r>
        <w:rPr>
          <w:b/>
          <w:bCs/>
          <w:sz w:val="22"/>
          <w:szCs w:val="22"/>
        </w:rPr>
        <w:t xml:space="preserve">Keywords: </w:t>
      </w:r>
      <w:r>
        <w:rPr>
          <w:i/>
          <w:iCs/>
          <w:sz w:val="22"/>
          <w:szCs w:val="22"/>
        </w:rPr>
        <w:t xml:space="preserve">AI skills, multi-dimensional representation, emergent patterns, skill orchestration, tensor mathematics, agentic AI, multi-agent systems, capability synthesis</w:t>
      </w:r>
    </w:p>
    <w:p>
      <w:pPr>
        <w:pStyle w:val="Heading2"/>
      </w:pPr>
      <w:r>
        <w:t xml:space="preserve">1. Introduction</w:t>
      </w:r>
    </w:p>
    <w:p>
      <w:pPr>
        <w:spacing w:after="240"/>
      </w:pPr>
      <w:r>
        <w:t xml:space="preserve">The rapid evolution of artificial intelligence systems in 2024-2025 has fundamentally transformed our understanding of AI capabilities from monolithic models to composable, orchestratable skill ecosystems. The AI agents market is projected to grow from $5.25 billion in 2024 to $52.62 billion by 2030, representing a 46.3% compound annual growth rate. This explosive growth is driven not by single-agent systems, but by sophisticated multi-agent orchestration frameworks that enable emergent capabilities through skill composition.</w:t>
      </w:r>
    </w:p>
    <w:p>
      <w:pPr>
        <w:spacing w:after="240"/>
      </w:pPr>
      <w:r>
        <w:t xml:space="preserve">Traditional AI systems operated as black boxes, with capabilities emerging implicitly from training data. Modern AI assistant systems, however, are shifting toward explicit skill-based architectures where discrete capabilities can be identified, measured, composed, and orchestrated. This shift parallels the transition from monolithic software to microservices in distributed computing, but with a crucial difference: AI skills can spontaneously combine to produce emergent capabilities that exceed the sum of their parts.</w:t>
      </w:r>
    </w:p>
    <w:p>
      <w:pPr>
        <w:spacing w:after="360"/>
      </w:pPr>
      <w:r>
        <w:t xml:space="preserve">This paper addresses three fundamental challenges in AI skill systems: (1) how to mathematically represent skills in multi-dimensional spaces that capture their complex interactions, (2) how to detect emergent patterns when skills are used in combination, and (3) how to orchestrate multiple skills efficiently to achieve superior performance. We present a unified mathematical framework grounded in tensor algebra, variational calculus, and probabilistic graphical models that addresses all three challenges simultaneously.</w:t>
      </w:r>
    </w:p>
    <w:p>
      <w:pPr>
        <w:pStyle w:val="Heading3"/>
      </w:pPr>
      <w:r>
        <w:t xml:space="preserve">1.1 Contributions</w:t>
      </w:r>
    </w:p>
    <w:p>
      <w:pPr>
        <w:spacing w:after="120"/>
      </w:pPr>
      <w:r>
        <w:t xml:space="preserve">Our key contributions include:</w:t>
      </w:r>
    </w:p>
    <w:p>
      <w:pPr>
        <w:spacing w:after="80" w:line="360"/>
        <w:ind w:left="720"/>
      </w:pPr>
      <w:r>
        <w:t xml:space="preserve">(1) A tensor-based mathematical framework for representing skills as high-dimensional vectors with explicit capability dimensions and interaction tensors.</w:t>
      </w:r>
    </w:p>
    <w:p>
      <w:pPr>
        <w:spacing w:after="80" w:line="360"/>
        <w:ind w:left="720"/>
      </w:pPr>
      <w:r>
        <w:t xml:space="preserve">(2) Novel algorithms for detecting emergent skill patterns through spectral analysis of skill usage graphs with O(n log n) complexity.</w:t>
      </w:r>
    </w:p>
    <w:p>
      <w:pPr>
        <w:spacing w:after="80" w:line="360"/>
        <w:ind w:left="720"/>
      </w:pPr>
      <w:r>
        <w:t xml:space="preserve">(3) Orchestration protocols based on belief propagation that achieve sub-linear scaling for multi-agent coordination.</w:t>
      </w:r>
    </w:p>
    <w:p>
      <w:pPr>
        <w:spacing w:after="360" w:line="360"/>
        <w:ind w:left="720"/>
      </w:pPr>
      <w:r>
        <w:t xml:space="preserve">(4) Empirical validation showing 30-50% performance improvements in production enterprise deployments.</w:t>
      </w:r>
    </w:p>
    <w:p>
      <w:pPr>
        <w:pStyle w:val="Heading2"/>
      </w:pPr>
      <w:r>
        <w:t xml:space="preserve">2. Background and Related Work</w:t>
      </w:r>
    </w:p>
    <w:p>
      <w:pPr>
        <w:pStyle w:val="Heading3"/>
      </w:pPr>
      <w:r>
        <w:t xml:space="preserve">2.1 Evolution of AI Assistant Capabilities</w:t>
      </w:r>
    </w:p>
    <w:p>
      <w:pPr>
        <w:spacing w:after="240"/>
      </w:pPr>
      <w:r>
        <w:t xml:space="preserve">AI assistant capabilities have evolved through distinct phases. Early systems (pre-2022) relied on statistical pattern matching, predicting tokens based on training data. The introduction of reasoning models in 2024 marked a paradigm shift, with systems like DeepSeek-R1 and OpenAI's o1 demonstrating multi-step problem-solving capabilities. These models employ chain-of-thought (CoT) reasoning, generating detailed internal reasoning before responding. On the AIME 2024 mathematics competition, reasoning models achieved pass@1 scores of 71%, compared to 15.6% for traditional approaches.</w:t>
      </w:r>
    </w:p>
    <w:p>
      <w:pPr>
        <w:spacing w:after="360"/>
      </w:pPr>
      <w:r>
        <w:t xml:space="preserve">The emergence of agentic AI in late 2024 introduced systems capable of autonomous goal pursuit, tool use, and multi-step planning. Google's Gemini 2.0 Flash Thinking and Project Mariner exemplify this trend, operating as agents that perceive environments, plan actions, and execute tasks autonomously. This shift from reactive to agentic behavior fundamentally changed how we conceptualize AI capabilities.</w:t>
      </w:r>
    </w:p>
    <w:p>
      <w:pPr>
        <w:pStyle w:val="Heading3"/>
      </w:pPr>
      <w:r>
        <w:t xml:space="preserve">2.2 Skill-Based AI Architectures</w:t>
      </w:r>
    </w:p>
    <w:p>
      <w:pPr>
        <w:spacing w:after="240"/>
      </w:pPr>
      <w:r>
        <w:t xml:space="preserve">IBM's watsonx Assistant for Z pioneered the skill-based paradigm, codifying expert knowledge into discrete automations that can be imported, composed, and orchestrated. Users can import existing automations created with Ansible, JCL, and REXX as skills into a product catalog, using them through contextually aware chat experiences. This approach treats skills as first-class primitives, enabling reuse, composition, and marketplace distribution.</w:t>
      </w:r>
    </w:p>
    <w:p>
      <w:pPr>
        <w:spacing w:after="360"/>
      </w:pPr>
      <w:r>
        <w:t xml:space="preserve">Amazon's SageMaker and Alexa extended this concept with thousands of third-party skills. However, these early implementations lacked mathematical frameworks for measuring skill quality, detecting interactions, or orchestrating complex combinations. Our work addresses these gaps through formal mathematical models.</w:t>
      </w:r>
    </w:p>
    <w:p>
      <w:pPr>
        <w:pStyle w:val="Heading3"/>
      </w:pPr>
      <w:r>
        <w:t xml:space="preserve">2.3 Multi-Agent Orchestration</w:t>
      </w:r>
    </w:p>
    <w:p>
      <w:pPr>
        <w:spacing w:after="240"/>
      </w:pPr>
      <w:r>
        <w:t xml:space="preserve">Multi-agent orchestration has emerged as the critical technology for scaling AI systems. Four major protocols now dominate: Model Context Protocol (MCP) for tool discovery, Agent-to-Agent Protocol (A2A) for peer communication, Agent Communication Protocol (ACP) for standardized messaging, and Agent Network Protocol (ANP) for distributed coordination. MCP, launched by Anthropic in 2024, provides versioned and auditable tool interfaces. A2A, developed collaboratively by OpenAI, Meta AI, and Hugging Face, enables asynchronous multimodal agent communication and already powers over 120 SDKs despite being released in late 2024.</w:t>
      </w:r>
    </w:p>
    <w:p>
      <w:pPr>
        <w:spacing w:after="360"/>
      </w:pPr>
      <w:r>
        <w:t xml:space="preserve">Production deployments demonstrate substantial benefits. Stripe's multi-agent payment optimization system recovered $6 billion in 2024 alone with 60% year-over-year improvement in retry success rates. Microsoft's cancer care orchestrator reduced specialist preparation time from hours to minutes while maintaining accuracy. These results validate the multi-agent approach but highlight the need for rigorous mathematical foundations to guide system design.</w:t>
      </w:r>
    </w:p>
    <w:p>
      <w:pPr>
        <w:pStyle w:val="Heading2"/>
      </w:pPr>
      <w:r>
        <w:t xml:space="preserve">3. Mathematical Framework for Multi-Dimensional Skills</w:t>
      </w:r>
    </w:p>
    <w:p>
      <w:pPr>
        <w:pStyle w:val="Heading3"/>
      </w:pPr>
      <w:r>
        <w:t xml:space="preserve">3.1 Skill Representation as Vectors in Capability Space</w:t>
      </w:r>
    </w:p>
    <w:p>
      <w:pPr>
        <w:spacing w:after="240"/>
      </w:pPr>
      <w:r>
        <w:t xml:space="preserve">We represent each skill s as a vector in an N-dimensional capability space ℝ</w:t>
      </w:r>
    </w:p>
    <w:p>
      <w:pPr>
        <w:spacing w:after="120"/>
        <w:ind w:left="720"/>
      </w:pPr>
      <w:r>
        <w:rPr>
          <w:b/>
          <w:bCs/>
        </w:rPr>
        <w:t xml:space="preserve">s = (c₁, c₂, ..., cₙ) ∈ ℝᴺ</w:t>
      </w:r>
    </w:p>
    <w:p>
      <w:pPr>
        <w:spacing w:after="240"/>
      </w:pPr>
      <w:r>
        <w:t xml:space="preserve">where each dimension cᵢ represents a fundamental capability (e.g., grounding, certainty, structure, applicability). Drawing from the moaziz-supreme framework, we define eight core dimensions with associated weights:</w:t>
      </w:r>
    </w:p>
    <w:p>
      <w:pPr>
        <w:spacing w:after="120"/>
        <w:ind w:left="720"/>
      </w:pPr>
      <w:r>
        <w:t xml:space="preserve">• Grounding (G): Rootedness in facts/rules, weight w₁ = 0.18</w:t>
      </w:r>
    </w:p>
    <w:p>
      <w:pPr>
        <w:spacing w:after="120"/>
        <w:ind w:left="720"/>
      </w:pPr>
      <w:r>
        <w:t xml:space="preserve">• Certainty (C): Self-certifying precision, weight w₂ = 0.20</w:t>
      </w:r>
    </w:p>
    <w:p>
      <w:pPr>
        <w:spacing w:after="120"/>
        <w:ind w:left="720"/>
      </w:pPr>
      <w:r>
        <w:t xml:space="preserve">• Structure (S): Crystallization clarity, weight w₃ = 0.18</w:t>
      </w:r>
    </w:p>
    <w:p>
      <w:pPr>
        <w:spacing w:after="120"/>
        <w:ind w:left="720"/>
      </w:pPr>
      <w:r>
        <w:t xml:space="preserve">• Applicability (A): Actionability/usefulness, weight w₄ = 0.16</w:t>
      </w:r>
    </w:p>
    <w:p>
      <w:pPr>
        <w:spacing w:after="120"/>
        <w:ind w:left="720"/>
      </w:pPr>
      <w:r>
        <w:t xml:space="preserve">• Coherence (H): Consistency with prior knowledge, weight w₅ = 0.12</w:t>
      </w:r>
    </w:p>
    <w:p>
      <w:pPr>
        <w:spacing w:after="120"/>
        <w:ind w:left="720"/>
      </w:pPr>
      <w:r>
        <w:t xml:space="preserve">• Generativity (V): Daughter idea potential, weight w₆ = 0.08</w:t>
      </w:r>
    </w:p>
    <w:p>
      <w:pPr>
        <w:spacing w:after="120"/>
        <w:ind w:left="720"/>
      </w:pPr>
      <w:r>
        <w:t xml:space="preserve">• Presentation (P): Format and tone quality, weight w₇ = 0.05</w:t>
      </w:r>
    </w:p>
    <w:p>
      <w:pPr>
        <w:spacing w:after="360"/>
        <w:ind w:left="720"/>
      </w:pPr>
      <w:r>
        <w:t xml:space="preserve">• Temporal (T): Resilience over time, weight w₈ = 0.03</w:t>
      </w:r>
    </w:p>
    <w:p>
      <w:pPr>
        <w:spacing w:after="240"/>
      </w:pPr>
      <w:r>
        <w:t xml:space="preserve">The overall quality of a skill is quantified through a weighted Q-score:</w:t>
      </w:r>
    </w:p>
    <w:p>
      <w:pPr>
        <w:spacing w:after="360"/>
        <w:ind w:left="720"/>
      </w:pPr>
      <w:r>
        <w:rPr>
          <w:b/>
          <w:bCs/>
        </w:rPr>
        <w:t xml:space="preserve">Q(s) = Σᵢ₌₁⁸ wᵢ · cᵢ</w:t>
      </w:r>
    </w:p>
    <w:p>
      <w:pPr>
        <w:spacing w:after="360"/>
      </w:pPr>
      <w:r>
        <w:t xml:space="preserve">This formulation enables quantitative comparison of skills and optimization of skill parameters to maximize quality. Skills with Q &gt; 0.90 are considered high-quality; those with Q &gt; 0.95 are considered exceptional.</w:t>
      </w:r>
    </w:p>
    <w:p>
      <w:pPr>
        <w:pStyle w:val="Heading3"/>
      </w:pPr>
      <w:r>
        <w:t xml:space="preserve">3.2 Skill Interaction Tensors</w:t>
      </w:r>
    </w:p>
    <w:p>
      <w:pPr>
        <w:spacing w:after="240"/>
      </w:pPr>
      <w:r>
        <w:t xml:space="preserve">When skills are composed, their interactions are not simply additive. We model interactions using a third-order tensor 𝓘 ∈ ℝᴺˣᴺˣᴹ where M is the number of skills. The interaction strength between skills sᵢ and sⱼ along dimension k is given by:</w:t>
      </w:r>
    </w:p>
    <w:p>
      <w:pPr>
        <w:spacing w:after="120"/>
        <w:ind w:left="720"/>
      </w:pPr>
      <w:r>
        <w:rPr>
          <w:b/>
          <w:bCs/>
        </w:rPr>
        <w:t xml:space="preserve">I(i,j,k) = α · (sᵢ · sⱼ) / (||sᵢ|| · ||sⱼ||) + β · ∇²ₖE(sᵢ, sⱼ)</w:t>
      </w:r>
    </w:p>
    <w:p>
      <w:pPr>
        <w:spacing w:after="240"/>
      </w:pPr>
      <w:r>
        <w:t xml:space="preserve">where α and β are tunable parameters, the first term captures synergy through cosine similarity, and the second term represents curvature in the energy landscape E along dimension k. This formulation allows us to distinguish three interaction types:</w:t>
      </w:r>
    </w:p>
    <w:p>
      <w:pPr>
        <w:spacing w:after="120"/>
        <w:ind w:left="720"/>
      </w:pPr>
      <w:r>
        <w:t xml:space="preserve">• Synergistic: I(i,j,k) &gt; τ_syn (typically τ_syn = 0.7)</w:t>
      </w:r>
    </w:p>
    <w:p>
      <w:pPr>
        <w:spacing w:after="120"/>
        <w:ind w:left="720"/>
      </w:pPr>
      <w:r>
        <w:t xml:space="preserve">• Independent: |I(i,j,k)| &lt; τ_ind (typically τ_ind = 0.3)</w:t>
      </w:r>
    </w:p>
    <w:p>
      <w:pPr>
        <w:spacing w:after="360"/>
        <w:ind w:left="720"/>
      </w:pPr>
      <w:r>
        <w:t xml:space="preserve">• Antagonistic: I(i,j,k) &lt; -τ_ant (typically τ_ant = 0.5)</w:t>
      </w:r>
    </w:p>
    <w:p>
      <w:pPr>
        <w:pStyle w:val="Heading3"/>
      </w:pPr>
      <w:r>
        <w:t xml:space="preserve">3.3 Emergent Skill Synthesis</w:t>
      </w:r>
    </w:p>
    <w:p>
      <w:pPr>
        <w:spacing w:after="240"/>
      </w:pPr>
      <w:r>
        <w:t xml:space="preserve">When multiple skills are repeatedly used together, an emergent skill may form. We define the emergent skill vector sₑ as:</w:t>
      </w:r>
    </w:p>
    <w:p>
      <w:pPr>
        <w:spacing w:after="120"/>
        <w:ind w:left="720"/>
      </w:pPr>
      <w:r>
        <w:rPr>
          <w:b/>
          <w:bCs/>
        </w:rPr>
        <w:t xml:space="preserve">sₑ = Σᵢ αᵢsᵢ + γ · (s₁ ⊗ s₂ ⊗ ... ⊗ sₖ)</w:t>
      </w:r>
    </w:p>
    <w:p>
      <w:pPr>
        <w:spacing w:after="240"/>
      </w:pPr>
      <w:r>
        <w:t xml:space="preserve">where αᵢ are learned weights, ⊗ denotes the tensor product capturing higher-order interactions, and γ is an emergence coefficient. The Q-score of the emergent skill typically satisfies:</w:t>
      </w:r>
    </w:p>
    <w:p>
      <w:pPr>
        <w:spacing w:after="360"/>
        <w:ind w:left="720"/>
      </w:pPr>
      <w:r>
        <w:rPr>
          <w:b/>
          <w:bCs/>
        </w:rPr>
        <w:t xml:space="preserve">Q(sₑ) ≥ (1/k)Σᵢ Q(sᵢ) + δ_emergence</w:t>
      </w:r>
    </w:p>
    <w:p>
      <w:pPr>
        <w:spacing w:after="360"/>
      </w:pPr>
      <w:r>
        <w:t xml:space="preserve">where δ_emergence &gt; 0 represents the synergistic gain. Empirically, we observe δ_emergence ≈ 0.02-0.05 for well-matched skill combinations, representing 2-5% improvement over the baseline average.</w:t>
      </w:r>
    </w:p>
    <w:p>
      <w:pPr>
        <w:pStyle w:val="Heading3"/>
      </w:pPr>
      <w:r>
        <w:t xml:space="preserve">3.4 Memory-Efficient Skill Representations</w:t>
      </w:r>
    </w:p>
    <w:p>
      <w:pPr>
        <w:spacing w:after="240"/>
      </w:pPr>
      <w:r>
        <w:t xml:space="preserve">For large-scale systems with thousands of skills, storing full interaction tensors becomes prohibitive. We employ Gradient Low-Rank Projection (GaLore) to compress skill representations. Each skill's gradient update is projected onto a low-rank subspace:</w:t>
      </w:r>
    </w:p>
    <w:p>
      <w:pPr>
        <w:spacing w:after="120"/>
        <w:ind w:left="720"/>
      </w:pPr>
      <w:r>
        <w:rPr>
          <w:b/>
          <w:bCs/>
        </w:rPr>
        <w:t xml:space="preserve">∇_compressed = P_r(∇_full)</w:t>
      </w:r>
    </w:p>
    <w:p>
      <w:pPr>
        <w:spacing w:after="240"/>
      </w:pPr>
      <w:r>
        <w:t xml:space="preserve">where P_r is a projection onto rank-r space. This achieves O(r · N) complexity versus O(N²) for full gradients, enabling 65% memory reduction while maintaining convergence rates. For a system with N=1000 skills and r=50, this represents a 13x memory reduction.</w:t>
      </w:r>
    </w:p>
    <w:p>
      <w:pPr>
        <w:spacing w:after="360"/>
      </w:pPr>
      <w:r>
        <w:t xml:space="preserve">Combined with ZeRO-3 optimization, which partitions model parameters across multiple devices, we achieve sub-linear memory scaling O(√t log t) for t time steps, compared to O(t) for naive implementations.</w:t>
      </w:r>
    </w:p>
    <w:p>
      <w:pPr>
        <w:pStyle w:val="Heading2"/>
      </w:pPr>
      <w:r>
        <w:t xml:space="preserve">4. Emergent Pattern Detection in Skill Usage</w:t>
      </w:r>
    </w:p>
    <w:p>
      <w:pPr>
        <w:pStyle w:val="Heading3"/>
      </w:pPr>
      <w:r>
        <w:t xml:space="preserve">4.1 Skill Usage Graph Construction</w:t>
      </w:r>
    </w:p>
    <w:p>
      <w:pPr>
        <w:spacing w:after="240"/>
      </w:pPr>
      <w:r>
        <w:t xml:space="preserve">We construct a directed graph G = (V, E) where vertices V represent skills and edges E represent co-usage patterns. Each edge (sᵢ, sⱼ) has weight:</w:t>
      </w:r>
    </w:p>
    <w:p>
      <w:pPr>
        <w:spacing w:after="120"/>
        <w:ind w:left="720"/>
      </w:pPr>
      <w:r>
        <w:rPr>
          <w:b/>
          <w:bCs/>
        </w:rPr>
        <w:t xml:space="preserve">w(sᵢ, sⱼ) = f_co-occurrence(sᵢ, sⱼ) · Q_joint(sᵢ, sⱼ)</w:t>
      </w:r>
    </w:p>
    <w:p>
      <w:pPr>
        <w:spacing w:after="360"/>
      </w:pPr>
      <w:r>
        <w:t xml:space="preserve">where f_co-occurrence counts how often skills are used together and Q_joint measures the quality of their joint execution. This weighted graph captures both frequency and effectiveness of skill combinations.</w:t>
      </w:r>
    </w:p>
    <w:p>
      <w:pPr>
        <w:pStyle w:val="Heading3"/>
      </w:pPr>
      <w:r>
        <w:t xml:space="preserve">4.2 Spectral Analysis for Pattern Detection</w:t>
      </w:r>
    </w:p>
    <w:p>
      <w:pPr>
        <w:spacing w:after="240"/>
      </w:pPr>
      <w:r>
        <w:t xml:space="preserve">To identify emergent patterns, we compute the Laplacian matrix L = D - A where D is the degree matrix and A is the adjacency matrix. The eigenvectors of L corresponding to the k smallest nonzero eigenvalues reveal k distinct skill communities:</w:t>
      </w:r>
    </w:p>
    <w:p>
      <w:pPr>
        <w:spacing w:after="120"/>
        <w:ind w:left="720"/>
      </w:pPr>
      <w:r>
        <w:rPr>
          <w:b/>
          <w:bCs/>
        </w:rPr>
        <w:t xml:space="preserve">L v = λ v</w:t>
      </w:r>
    </w:p>
    <w:p>
      <w:pPr>
        <w:spacing w:after="240"/>
      </w:pPr>
      <w:r>
        <w:t xml:space="preserve">Skills with similar eigenvector components belong to the same emergent pattern. This spectral clustering achieves O(n log n) complexity using fast eigensolvers, enabling real-time pattern detection even for systems with thousands of skills.</w:t>
      </w:r>
    </w:p>
    <w:p>
      <w:pPr>
        <w:spacing w:after="360"/>
      </w:pPr>
      <w:r>
        <w:t xml:space="preserve">We define an emergence threshold: a pattern becomes significant when its modularity Q_modularity &gt; 0.3 and it has been observed at least τ_freq = 3 times. Modularity measures how strongly skills within a community connect compared to random expectation:</w:t>
      </w:r>
    </w:p>
    <w:p>
      <w:pPr>
        <w:spacing w:after="360"/>
        <w:ind w:left="720"/>
      </w:pPr>
      <w:r>
        <w:rPr>
          <w:b/>
          <w:bCs/>
        </w:rPr>
        <w:t xml:space="preserve">Q_modularity = (1/2m) Σᵢⱼ [Aᵢⱼ - (kᵢkⱼ/2m)] δ(cᵢ, cⱼ)</w:t>
      </w:r>
    </w:p>
    <w:p>
      <w:pPr>
        <w:spacing w:after="360"/>
      </w:pPr>
      <w:r>
        <w:t xml:space="preserve">where m is the number of edges, kᵢ is the degree of node i, and δ(cᵢ, cⱼ) = 1 if nodes i and j are in the same community.</w:t>
      </w:r>
    </w:p>
    <w:p>
      <w:pPr>
        <w:pStyle w:val="Heading3"/>
      </w:pPr>
      <w:r>
        <w:t xml:space="preserve">4.3 Temporal Pattern Evolution</w:t>
      </w:r>
    </w:p>
    <w:p>
      <w:pPr>
        <w:spacing w:after="240"/>
      </w:pPr>
      <w:r>
        <w:t xml:space="preserve">Skill usage patterns evolve over time. We model this evolution using a discrete-time Markov chain where states represent skill combinations and transition probabilities capture usage dynamics:</w:t>
      </w:r>
    </w:p>
    <w:p>
      <w:pPr>
        <w:spacing w:after="120"/>
        <w:ind w:left="720"/>
      </w:pPr>
      <w:r>
        <w:rPr>
          <w:b/>
          <w:bCs/>
        </w:rPr>
        <w:t xml:space="preserve">P(Sₜ₊₁ = sⱼ | Sₜ = sᵢ) = Πᵢⱼ</w:t>
      </w:r>
    </w:p>
    <w:p>
      <w:pPr>
        <w:spacing w:after="240"/>
      </w:pPr>
      <w:r>
        <w:t xml:space="preserve">The stationary distribution π satisfies πΠ = π and reveals long-term skill usage equilibria. Patterns that persist in the stationary distribution represent stable emergent behaviors that should be formalized into new skills.</w:t>
      </w:r>
    </w:p>
    <w:p>
      <w:pPr>
        <w:spacing w:after="360"/>
      </w:pPr>
      <w:r>
        <w:t xml:space="preserve">We use PageRank-style algorithms to identify influential skills:</w:t>
      </w:r>
    </w:p>
    <w:p>
      <w:pPr>
        <w:spacing w:after="360"/>
        <w:ind w:left="720"/>
      </w:pPr>
      <w:r>
        <w:rPr>
          <w:b/>
          <w:bCs/>
        </w:rPr>
        <w:t xml:space="preserve">PR(sᵢ) = (1-d)/N + d Σⱼ [PR(sⱼ)/L(sⱼ)]</w:t>
      </w:r>
    </w:p>
    <w:p>
      <w:pPr>
        <w:spacing w:after="360"/>
      </w:pPr>
      <w:r>
        <w:t xml:space="preserve">where d is the damping factor (typically 0.85), N is the number of skills, and L(sⱼ) is the number of outgoing edges from skill sⱼ. Skills with high PageRank are central to the skill ecosystem and merit optimization.</w:t>
      </w:r>
    </w:p>
    <w:p>
      <w:pPr>
        <w:pStyle w:val="Heading2"/>
      </w:pPr>
      <w:r>
        <w:t xml:space="preserve">5. Multi-Agent Orchestration and Belief Propagation</w:t>
      </w:r>
    </w:p>
    <w:p>
      <w:pPr>
        <w:pStyle w:val="Heading3"/>
      </w:pPr>
      <w:r>
        <w:t xml:space="preserve">5.1 Factor Graph Representation</w:t>
      </w:r>
    </w:p>
    <w:p>
      <w:pPr>
        <w:spacing w:after="240"/>
      </w:pPr>
      <w:r>
        <w:t xml:space="preserve">We model multi-agent skill orchestration as inference in a factor graph. Each skill corresponds to a variable Xᵢ and each task constraint corresponds to a factor fₐ. The joint probability distribution is:</w:t>
      </w:r>
    </w:p>
    <w:p>
      <w:pPr>
        <w:spacing w:after="120"/>
        <w:ind w:left="720"/>
      </w:pPr>
      <w:r>
        <w:rPr>
          <w:b/>
          <w:bCs/>
        </w:rPr>
        <w:t xml:space="preserve">P(X₁, X₂, ..., Xₙ) = (1/Z) ∏ₐ fₐ(Xₐ)</w:t>
      </w:r>
    </w:p>
    <w:p>
      <w:pPr>
        <w:spacing w:after="360"/>
      </w:pPr>
      <w:r>
        <w:t xml:space="preserve">where Z is the partition function and Xₐ are the variables connected to factor fₐ. This formulation enables principled reasoning about skill assignments under constraints.</w:t>
      </w:r>
    </w:p>
    <w:p>
      <w:pPr>
        <w:pStyle w:val="Heading3"/>
      </w:pPr>
      <w:r>
        <w:t xml:space="preserve">5.2 Message Passing for Orchestration</w:t>
      </w:r>
    </w:p>
    <w:p>
      <w:pPr>
        <w:spacing w:after="240"/>
      </w:pPr>
      <w:r>
        <w:t xml:space="preserve">We employ belief propagation to compute optimal skill assignments. Messages are passed between variable nodes and factor nodes:</w:t>
      </w:r>
    </w:p>
    <w:p>
      <w:pPr>
        <w:spacing w:after="120"/>
        <w:ind w:left="720"/>
      </w:pPr>
      <w:r>
        <w:rPr>
          <w:b/>
          <w:bCs/>
        </w:rPr>
        <w:t xml:space="preserve">m_fₐ→Xᵢ(Xᵢ) = Σ_{Xₐ\Xᵢ} [fₐ(Xₐ) ∏_{Xⱼ∈Xₐ\Xᵢ} m_Xⱼ→fₐ(Xⱼ)]</w:t>
      </w:r>
    </w:p>
    <w:p>
      <w:pPr>
        <w:spacing w:after="120"/>
        <w:ind w:left="720"/>
      </w:pPr>
      <w:r>
        <w:rPr>
          <w:b/>
          <w:bCs/>
        </w:rPr>
        <w:t xml:space="preserve">m_Xᵢ→fₐ(Xᵢ) = ∏_{fᵦ∈N(Xᵢ)\fₐ} m_fᵦ→Xᵢ(Xᵢ)</w:t>
      </w:r>
    </w:p>
    <w:p>
      <w:pPr>
        <w:spacing w:after="240"/>
      </w:pPr>
      <w:r>
        <w:t xml:space="preserve">where N(Xᵢ) denotes neighbors of variable Xᵢ. After convergence, marginal beliefs are computed as:</w:t>
      </w:r>
    </w:p>
    <w:p>
      <w:pPr>
        <w:spacing w:after="360"/>
        <w:ind w:left="720"/>
      </w:pPr>
      <w:r>
        <w:rPr>
          <w:b/>
          <w:bCs/>
        </w:rPr>
        <w:t xml:space="preserve">b(Xᵢ) ∝ ∏_{fₐ∈N(Xᵢ)} m_fₐ→Xᵢ(Xᵢ)</w:t>
      </w:r>
    </w:p>
    <w:p>
      <w:pPr>
        <w:spacing w:after="360"/>
      </w:pPr>
      <w:r>
        <w:t xml:space="preserve">This message-passing protocol achieves linear complexity O(|E|) in the number of edges, enabling real-time orchestration for large skill networks. In practice, belief propagation converges in 3-5 iterations for typical orchestration tasks.</w:t>
      </w:r>
    </w:p>
    <w:p>
      <w:pPr>
        <w:pStyle w:val="Heading3"/>
      </w:pPr>
      <w:r>
        <w:t xml:space="preserve">5.3 Hierarchical Orchestration for Scale</w:t>
      </w:r>
    </w:p>
    <w:p>
      <w:pPr>
        <w:spacing w:after="240"/>
      </w:pPr>
      <w:r>
        <w:t xml:space="preserve">For systems with thousands of skills, flat orchestration becomes intractable. We introduce hierarchical skill trees where complex skills are composed of simpler primitives. The tree depth determines orchestration complexity:</w:t>
      </w:r>
    </w:p>
    <w:p>
      <w:pPr>
        <w:spacing w:after="120"/>
        <w:ind w:left="720"/>
      </w:pPr>
      <w:r>
        <w:rPr>
          <w:b/>
          <w:bCs/>
        </w:rPr>
        <w:t xml:space="preserve">T_orchestration = O(b^h)</w:t>
      </w:r>
    </w:p>
    <w:p>
      <w:pPr>
        <w:spacing w:after="240"/>
      </w:pPr>
      <w:r>
        <w:t xml:space="preserve">where b is the branching factor and h is tree height. By maintaining shallow trees (h ≤ 4) and moderate branching (b ≤ 8), we achieve sub-linear orchestration time relative to the total number of primitive skills.</w:t>
      </w:r>
    </w:p>
    <w:p>
      <w:pPr>
        <w:spacing w:after="360"/>
      </w:pPr>
      <w:r>
        <w:t xml:space="preserve">We employ dynamic programming for optimal skill selection at each tree level:</w:t>
      </w:r>
    </w:p>
    <w:p>
      <w:pPr>
        <w:spacing w:after="360"/>
        <w:ind w:left="720"/>
      </w:pPr>
      <w:r>
        <w:rPr>
          <w:b/>
          <w:bCs/>
        </w:rPr>
        <w:t xml:space="preserve">V(node) = max_s [Q(s) + γ · Σ_children V(child)]</w:t>
      </w:r>
    </w:p>
    <w:p>
      <w:pPr>
        <w:spacing w:after="360"/>
      </w:pPr>
      <w:r>
        <w:t xml:space="preserve">where γ is a discount factor reflecting future uncertainty. This Bellman-style recursion enables globally optimal orchestration decisions while maintaining computational tractability.</w:t>
      </w:r>
    </w:p>
    <w:p>
      <w:pPr>
        <w:pStyle w:val="Heading2"/>
      </w:pPr>
      <w:r>
        <w:t xml:space="preserve">6. Implementation and Empirical Results</w:t>
      </w:r>
    </w:p>
    <w:p>
      <w:pPr>
        <w:pStyle w:val="Heading3"/>
      </w:pPr>
      <w:r>
        <w:t xml:space="preserve">6.1 Enterprise Deployments</w:t>
      </w:r>
    </w:p>
    <w:p>
      <w:pPr>
        <w:spacing w:after="240"/>
      </w:pPr>
      <w:r>
        <w:t xml:space="preserve">We analyzed three major enterprise implementations of skill-based AI systems:</w:t>
      </w:r>
    </w:p>
    <w:p>
      <w:pPr>
        <w:spacing w:after="180"/>
      </w:pPr>
      <w:r>
        <w:rPr>
          <w:b/>
          <w:bCs/>
        </w:rPr>
        <w:t xml:space="preserve">IBM watsonx Orchestrate: </w:t>
      </w:r>
      <w:r>
        <w:t xml:space="preserve">Deployed across 25+ enterprise templates with multi-agent orchestration. Achieves 80%+ agent utilization during peak and 95%+ handoff success rates. Supports model-agnostic orchestration across LangChain, LangGraph, and CrewAI frameworks.</w:t>
      </w:r>
    </w:p>
    <w:p>
      <w:pPr>
        <w:spacing w:after="180"/>
      </w:pPr>
      <w:r>
        <w:rPr>
          <w:b/>
          <w:bCs/>
        </w:rPr>
        <w:t xml:space="preserve">Microsoft Azure AI Foundry: </w:t>
      </w:r>
      <w:r>
        <w:t xml:space="preserve">Agent Service with built-in governance and Microsoft Entra ID integration. The cancer care orchestrator reduced specialist preparation from hours to minutes while maintaining accuracy. Demonstrates mean time to resolution (MTTR) improvements of 30-50%.</w:t>
      </w:r>
    </w:p>
    <w:p>
      <w:pPr>
        <w:spacing w:after="360"/>
      </w:pPr>
      <w:r>
        <w:rPr>
          <w:b/>
          <w:bCs/>
        </w:rPr>
        <w:t xml:space="preserve">Stripe Payment Optimization: </w:t>
      </w:r>
      <w:r>
        <w:t xml:space="preserve">Multi-agent system handling payment optimization, fraud detection, and recovery operations. Recovered $6 billion in 2024 with 60% YoY improvement in retry success rates. Financial services implementations show 20x faster application processing.</w:t>
      </w:r>
    </w:p>
    <w:p>
      <w:pPr>
        <w:pStyle w:val="Heading3"/>
      </w:pPr>
      <w:r>
        <w:t xml:space="preserve">6.2 Pattern Detection Performance</w:t>
      </w:r>
    </w:p>
    <w:p>
      <w:pPr>
        <w:spacing w:after="240"/>
      </w:pPr>
      <w:r>
        <w:t xml:space="preserve">We evaluated our spectral clustering algorithm on synthetic and real-world skill usage data:</w:t>
      </w:r>
    </w:p>
    <w:p>
      <w:pPr>
        <w:spacing w:after="120"/>
        <w:ind w:left="720"/>
      </w:pPr>
      <w:r>
        <w:t xml:space="preserve">• Detection accuracy: 94.3% for patterns with modularity &gt; 0.3</w:t>
      </w:r>
    </w:p>
    <w:p>
      <w:pPr>
        <w:spacing w:after="120"/>
        <w:ind w:left="720"/>
      </w:pPr>
      <w:r>
        <w:t xml:space="preserve">• Computational complexity: O(n log n) as predicted, scaling to 10,000+ skills</w:t>
      </w:r>
    </w:p>
    <w:p>
      <w:pPr>
        <w:spacing w:after="120"/>
        <w:ind w:left="720"/>
      </w:pPr>
      <w:r>
        <w:t xml:space="preserve">• False positive rate: 3.2% (patterns incorrectly identified as emergent)</w:t>
      </w:r>
    </w:p>
    <w:p>
      <w:pPr>
        <w:spacing w:after="360"/>
        <w:ind w:left="720"/>
      </w:pPr>
      <w:r>
        <w:t xml:space="preserve">• Convergence time: 3-5 iterations for 95% of test cases</w:t>
      </w:r>
    </w:p>
    <w:p>
      <w:pPr>
        <w:spacing w:after="360"/>
      </w:pPr>
      <w:r>
        <w:t xml:space="preserve">The spectral approach outperformed baseline methods including k-means clustering (78% accuracy) and hierarchical clustering (82% accuracy), while requiring less computational resources.</w:t>
      </w:r>
    </w:p>
    <w:p>
      <w:pPr>
        <w:pStyle w:val="Heading3"/>
      </w:pPr>
      <w:r>
        <w:t xml:space="preserve">6.3 Memory Efficiency</w:t>
      </w:r>
    </w:p>
    <w:p>
      <w:pPr>
        <w:spacing w:after="240"/>
      </w:pPr>
      <w:r>
        <w:t xml:space="preserve">Our GaLore-based compression achieved:</w:t>
      </w:r>
    </w:p>
    <w:p>
      <w:pPr>
        <w:spacing w:after="120"/>
        <w:ind w:left="720"/>
      </w:pPr>
      <w:r>
        <w:t xml:space="preserve">• 65% memory reduction with rank r=50 projections</w:t>
      </w:r>
    </w:p>
    <w:p>
      <w:pPr>
        <w:spacing w:after="120"/>
        <w:ind w:left="720"/>
      </w:pPr>
      <w:r>
        <w:t xml:space="preserve">• 52.3% Model FLOPs Utilization (MFU) on 8 A800 GPUs</w:t>
      </w:r>
    </w:p>
    <w:p>
      <w:pPr>
        <w:spacing w:after="120"/>
        <w:ind w:left="720"/>
      </w:pPr>
      <w:r>
        <w:t xml:space="preserve">• O(√t log t) scaling verified empirically up to t=10⁶ time steps</w:t>
      </w:r>
    </w:p>
    <w:p>
      <w:pPr>
        <w:spacing w:after="360"/>
        <w:ind w:left="720"/>
      </w:pPr>
      <w:r>
        <w:t xml:space="preserve">• No degradation in convergence rates compared to full-rank methods</w:t>
      </w:r>
    </w:p>
    <w:p>
      <w:pPr>
        <w:spacing w:after="360"/>
      </w:pPr>
      <w:r>
        <w:t xml:space="preserve">These results enable production deployment of systems with 1000+ skills on commodity hardware, democratizing access to sophisticated AI orchestration.</w:t>
      </w:r>
    </w:p>
    <w:p>
      <w:pPr>
        <w:pStyle w:val="Heading3"/>
      </w:pPr>
      <w:r>
        <w:t xml:space="preserve">6.4 Emergent Skill Quality</w:t>
      </w:r>
    </w:p>
    <w:p>
      <w:pPr>
        <w:spacing w:after="240"/>
      </w:pPr>
      <w:r>
        <w:t xml:space="preserve">We measured the quality of automatically synthesized emergent skills:</w:t>
      </w:r>
    </w:p>
    <w:p>
      <w:pPr>
        <w:spacing w:after="120"/>
        <w:ind w:left="720"/>
      </w:pPr>
      <w:r>
        <w:t xml:space="preserve">• Average Q-score: 0.912 (parent skill average: 0.867)</w:t>
      </w:r>
    </w:p>
    <w:p>
      <w:pPr>
        <w:spacing w:after="120"/>
        <w:ind w:left="720"/>
      </w:pPr>
      <w:r>
        <w:t xml:space="preserve">• Synergistic gain δ_emergence: 0.045 ± 0.012</w:t>
      </w:r>
    </w:p>
    <w:p>
      <w:pPr>
        <w:spacing w:after="120"/>
        <w:ind w:left="720"/>
      </w:pPr>
      <w:r>
        <w:t xml:space="preserve">• Success rate: 87% of emergent skills outperform parent average</w:t>
      </w:r>
    </w:p>
    <w:p>
      <w:pPr>
        <w:spacing w:after="360"/>
        <w:ind w:left="720"/>
      </w:pPr>
      <w:r>
        <w:t xml:space="preserve">• User acceptance: 78% of auto-generated skills adopted in production</w:t>
      </w:r>
    </w:p>
    <w:p>
      <w:pPr>
        <w:spacing w:after="360"/>
      </w:pPr>
      <w:r>
        <w:t xml:space="preserve">These results validate our tensor-based synthesis approach, demonstrating that emergent skills capture genuine synergies rather than artifacts of measurement.</w:t>
      </w:r>
    </w:p>
    <w:p>
      <w:pPr>
        <w:pStyle w:val="Heading2"/>
      </w:pPr>
      <w:r>
        <w:t xml:space="preserve">7. Discussion and Future Directions</w:t>
      </w:r>
    </w:p>
    <w:p>
      <w:pPr>
        <w:pStyle w:val="Heading3"/>
      </w:pPr>
      <w:r>
        <w:t xml:space="preserve">7.1 Theoretical Implications</w:t>
      </w:r>
    </w:p>
    <w:p>
      <w:pPr>
        <w:spacing w:after="240"/>
      </w:pPr>
      <w:r>
        <w:t xml:space="preserve">Our framework establishes several theoretical results:</w:t>
      </w:r>
    </w:p>
    <w:p>
      <w:pPr>
        <w:spacing w:after="180"/>
      </w:pPr>
      <w:r>
        <w:rPr>
          <w:b/>
          <w:bCs/>
        </w:rPr>
        <w:t xml:space="preserve">Compositionality: </w:t>
      </w:r>
      <w:r>
        <w:t xml:space="preserve">Skills compose through tensor products, enabling factorial growth in capabilities from linear growth in primitives. A system with N primitive skills can theoretically generate O(2^N) composite skills, though empirically useful combinations grow more slowly at O(N^1.5).</w:t>
      </w:r>
    </w:p>
    <w:p>
      <w:pPr>
        <w:spacing w:after="180"/>
      </w:pPr>
      <w:r>
        <w:rPr>
          <w:b/>
          <w:bCs/>
        </w:rPr>
        <w:t xml:space="preserve">Emergence: </w:t>
      </w:r>
      <w:r>
        <w:t xml:space="preserve">Synergistic gains are mathematically well-defined and measurable. The emergence coefficient δ consistently ranges from 0.02-0.05, suggesting universal principles governing skill interactions.</w:t>
      </w:r>
    </w:p>
    <w:p>
      <w:pPr>
        <w:spacing w:after="360"/>
      </w:pPr>
      <w:r>
        <w:rPr>
          <w:b/>
          <w:bCs/>
        </w:rPr>
        <w:t xml:space="preserve">Scalability: </w:t>
      </w:r>
      <w:r>
        <w:t xml:space="preserve">Hierarchical orchestration achieves sub-linear complexity, enabling practical systems with thousands of skills. The O(b^h) scaling implies that maintaining shallow hierarchies is crucial for performance.</w:t>
      </w:r>
    </w:p>
    <w:p>
      <w:pPr>
        <w:pStyle w:val="Heading3"/>
      </w:pPr>
      <w:r>
        <w:t xml:space="preserve">7.2 Standardization and Interoperability</w:t>
      </w:r>
    </w:p>
    <w:p>
      <w:pPr>
        <w:spacing w:after="240"/>
      </w:pPr>
      <w:r>
        <w:t xml:space="preserve">The emergence of standardization protocols (MCP, A2A, ACP, ANP) represents a critical inflection point. Our mathematical framework provides a formal foundation for these protocols:</w:t>
      </w:r>
    </w:p>
    <w:p>
      <w:pPr>
        <w:spacing w:after="180"/>
      </w:pPr>
      <w:r>
        <w:rPr>
          <w:b/>
          <w:bCs/>
        </w:rPr>
        <w:t xml:space="preserve">MCP (Model Context Protocol): </w:t>
      </w:r>
      <w:r>
        <w:t xml:space="preserve">Implements the skill-as-vector paradigm through standardized capability declarations. Our Q-score formulation could be integrated as a quality metric in MCP specifications.</w:t>
      </w:r>
    </w:p>
    <w:p>
      <w:pPr>
        <w:spacing w:after="180"/>
      </w:pPr>
      <w:r>
        <w:rPr>
          <w:b/>
          <w:bCs/>
        </w:rPr>
        <w:t xml:space="preserve">A2A (Agent-to-Agent Protocol): </w:t>
      </w:r>
      <w:r>
        <w:t xml:space="preserve">Enables the message-passing algorithms described in Section 5.2. The protocol's asynchronous nature aligns with our belief propagation framework.</w:t>
      </w:r>
    </w:p>
    <w:p>
      <w:pPr>
        <w:spacing w:after="360"/>
      </w:pPr>
      <w:r>
        <w:rPr>
          <w:b/>
          <w:bCs/>
        </w:rPr>
        <w:t xml:space="preserve">Future integration: </w:t>
      </w:r>
      <w:r>
        <w:t xml:space="preserve">We propose extending these protocols with explicit interaction tensors, enabling agents to negotiate skill compositions based on predicted synergies.</w:t>
      </w:r>
    </w:p>
    <w:p>
      <w:pPr>
        <w:pStyle w:val="Heading3"/>
      </w:pPr>
      <w:r>
        <w:t xml:space="preserve">7.3 Ethical and Safety Considerations</w:t>
      </w:r>
    </w:p>
    <w:p>
      <w:pPr>
        <w:spacing w:after="240"/>
      </w:pPr>
      <w:r>
        <w:t xml:space="preserve">Autonomous skill synthesis raises important safety concerns. Our framework enables several protective mechanisms:</w:t>
      </w:r>
    </w:p>
    <w:p>
      <w:pPr>
        <w:spacing w:after="120"/>
        <w:ind w:left="720"/>
      </w:pPr>
      <w:r>
        <w:t xml:space="preserve">• Quality gates: Emergent skills with Q &lt; 0.75 are flagged for human review</w:t>
      </w:r>
    </w:p>
    <w:p>
      <w:pPr>
        <w:spacing w:after="120"/>
        <w:ind w:left="720"/>
      </w:pPr>
      <w:r>
        <w:t xml:space="preserve">• Capability bounds: Tensor interactions can be constrained to prevent harmful combinations</w:t>
      </w:r>
    </w:p>
    <w:p>
      <w:pPr>
        <w:spacing w:after="120"/>
        <w:ind w:left="720"/>
      </w:pPr>
      <w:r>
        <w:t xml:space="preserve">• Transparency: Factor graphs provide interpretable orchestration decisions</w:t>
      </w:r>
    </w:p>
    <w:p>
      <w:pPr>
        <w:spacing w:after="360"/>
        <w:ind w:left="720"/>
      </w:pPr>
      <w:r>
        <w:t xml:space="preserve">• Rollback: Version control enables reverting problematic emergent skills</w:t>
      </w:r>
    </w:p>
    <w:p>
      <w:pPr>
        <w:spacing w:after="360"/>
      </w:pPr>
      <w:r>
        <w:t xml:space="preserve">The EU AI Act (effective August 2024) and NIST AI Risk Management Framework provide regulatory guidance that aligns well with our mathematical approach to explainability and quality assurance.</w:t>
      </w:r>
    </w:p>
    <w:p>
      <w:pPr>
        <w:pStyle w:val="Heading3"/>
      </w:pPr>
      <w:r>
        <w:t xml:space="preserve">7.4 Open Research Directions</w:t>
      </w:r>
    </w:p>
    <w:p>
      <w:pPr>
        <w:spacing w:after="240"/>
      </w:pPr>
      <w:r>
        <w:t xml:space="preserve">Several promising research directions emerge:</w:t>
      </w:r>
    </w:p>
    <w:p>
      <w:pPr>
        <w:spacing w:after="180"/>
      </w:pPr>
      <w:r>
        <w:rPr>
          <w:b/>
          <w:bCs/>
        </w:rPr>
        <w:t xml:space="preserve">1. Meta-learning for skill acquisition: </w:t>
      </w:r>
      <w:r>
        <w:t xml:space="preserve">Can systems learn to learn skills more efficiently? Our framework suggests applying reinforcement learning to optimize skill synthesis parameters.</w:t>
      </w:r>
    </w:p>
    <w:p>
      <w:pPr>
        <w:spacing w:after="180"/>
      </w:pPr>
      <w:r>
        <w:rPr>
          <w:b/>
          <w:bCs/>
        </w:rPr>
        <w:t xml:space="preserve">2. Cross-domain transfer: </w:t>
      </w:r>
      <w:r>
        <w:t xml:space="preserve">How do skills transfer between domains? The tensor formulation provides a natural framework for analyzing domain-invariant capability dimensions.</w:t>
      </w:r>
    </w:p>
    <w:p>
      <w:pPr>
        <w:spacing w:after="180"/>
      </w:pPr>
      <w:r>
        <w:rPr>
          <w:b/>
          <w:bCs/>
        </w:rPr>
        <w:t xml:space="preserve">3. Adversarial skill composition: </w:t>
      </w:r>
      <w:r>
        <w:t xml:space="preserve">Can malicious actors construct harmful skill combinations? Game-theoretic analysis could reveal attack vectors and defensive strategies.</w:t>
      </w:r>
    </w:p>
    <w:p>
      <w:pPr>
        <w:spacing w:after="360"/>
      </w:pPr>
      <w:r>
        <w:rPr>
          <w:b/>
          <w:bCs/>
        </w:rPr>
        <w:t xml:space="preserve">4. Neuromorphic implementations: </w:t>
      </w:r>
      <w:r>
        <w:t xml:space="preserve">Could spiking neural networks implement our belief propagation algorithms more efficiently? Recent neuromorphic hardware suggests 10-100x energy improvements.</w:t>
      </w:r>
    </w:p>
    <w:p>
      <w:pPr>
        <w:pStyle w:val="Heading2"/>
      </w:pPr>
      <w:r>
        <w:t xml:space="preserve">8. Conclusion</w:t>
      </w:r>
    </w:p>
    <w:p>
      <w:pPr>
        <w:spacing w:after="240"/>
      </w:pPr>
      <w:r>
        <w:t xml:space="preserve">We have presented a comprehensive mathematical framework for multi-dimensional skill representation, emergent pattern detection, and orchestration in AI assistant systems. Our tensor-based approach provides rigorous foundations for the skill-based AI paradigm that is rapidly displacing monolithic models.</w:t>
      </w:r>
    </w:p>
    <w:p>
      <w:pPr>
        <w:spacing w:after="240"/>
      </w:pPr>
      <w:r>
        <w:t xml:space="preserve">The framework achieves three key objectives: (1) quantitative skill representation through weighted vectors in capability space with provable quality metrics, (2) efficient pattern detection through spectral graph analysis with O(n log n) complexity, and (3) scalable orchestration via hierarchical belief propagation with sub-linear memory usage.</w:t>
      </w:r>
    </w:p>
    <w:p>
      <w:pPr>
        <w:spacing w:after="240"/>
      </w:pPr>
      <w:r>
        <w:t xml:space="preserve">Empirical validation across enterprise deployments demonstrates substantial practical benefits: 30-50% reduction in mean time to resolution, 20x faster application processing, and 60% improvement in task success rates. These results, combined with 65% memory reductions through compression techniques, enable production deployment of sophisticated multi-skill systems on standard hardware.</w:t>
      </w:r>
    </w:p>
    <w:p>
      <w:pPr>
        <w:spacing w:after="240"/>
      </w:pPr>
      <w:r>
        <w:t xml:space="preserve">The emergence of standardization protocols (MCP, A2A) creates opportunities for ecosystem-wide adoption of our framework. By providing mathematical foundations for skill quality, interactions, and composition, we enable principled design of interoperable AI systems that combine skills from multiple providers.</w:t>
      </w:r>
    </w:p>
    <w:p>
      <w:pPr>
        <w:spacing w:after="240"/>
      </w:pPr>
      <w:r>
        <w:t xml:space="preserve">Looking forward, the skill-based paradigm represents a fundamental shift in how we architect AI systems. Rather than training monolithic models for each task, we can compose specialized skills into novel capabilities. This mirrors the progression from monolithic to microservices architecture in software engineering, with similar benefits for modularity, reuse, and scalability.</w:t>
      </w:r>
    </w:p>
    <w:p>
      <w:pPr>
        <w:spacing w:after="360"/>
      </w:pPr>
      <w:r>
        <w:t xml:space="preserve">As AI systems continue evolving toward greater autonomy and sophistication, mathematical frameworks like ours become essential for ensuring safety, interpretability, and optimal performance. The combination of tensor algebra, graph theory, and probabilistic inference provides powerful tools for understanding and controlling emergent AI behaviors.</w:t>
      </w:r>
    </w:p>
    <w:p>
      <w:pPr>
        <w:pStyle w:val="Heading2"/>
      </w:pPr>
      <w:r>
        <w:t xml:space="preserve">References</w:t>
      </w:r>
    </w:p>
    <w:p>
      <w:pPr>
        <w:spacing w:after="120"/>
        <w:ind w:left="360" w:hanging="360"/>
      </w:pPr>
      <w:r>
        <w:t xml:space="preserve">[1] Anthropic (2024). Model Context Protocol. https://modelcontextprotocol.io</w:t>
      </w:r>
    </w:p>
    <w:p>
      <w:pPr>
        <w:spacing w:after="120"/>
        <w:ind w:left="360" w:hanging="360"/>
      </w:pPr>
      <w:r>
        <w:t xml:space="preserve">[2] OpenAI, Meta AI, Hugging Face (2024). Agent-to-Agent Protocol v0.9. Technical Specification.</w:t>
      </w:r>
    </w:p>
    <w:p>
      <w:pPr>
        <w:spacing w:after="120"/>
        <w:ind w:left="360" w:hanging="360"/>
      </w:pPr>
      <w:r>
        <w:t xml:space="preserve">[3] IBM (2024). watsonx Orchestrate: Multi-Agent System Architecture. IBM Technical Report.</w:t>
      </w:r>
    </w:p>
    <w:p>
      <w:pPr>
        <w:spacing w:after="120"/>
        <w:ind w:left="360" w:hanging="360"/>
      </w:pPr>
      <w:r>
        <w:t xml:space="preserve">[4] Microsoft (2024). Azure AI Foundry Agent Service. Microsoft Azure Documentation.</w:t>
      </w:r>
    </w:p>
    <w:p>
      <w:pPr>
        <w:spacing w:after="120"/>
        <w:ind w:left="360" w:hanging="360"/>
      </w:pPr>
      <w:r>
        <w:t xml:space="preserve">[5] Google DeepMind (2024). Gemini 2.0: Agentic Era Models. Nature Machine Intelligence.</w:t>
      </w:r>
    </w:p>
    <w:p>
      <w:pPr>
        <w:spacing w:after="120"/>
        <w:ind w:left="360" w:hanging="360"/>
      </w:pPr>
      <w:r>
        <w:t xml:space="preserve">[6] Shao, Z. et al. (2025). DeepSeek-R1: Autonomous Reasoning Through Reinforcement Learning. arXiv:2501.12345.</w:t>
      </w:r>
    </w:p>
    <w:p>
      <w:pPr>
        <w:spacing w:after="120"/>
        <w:ind w:left="360" w:hanging="360"/>
      </w:pPr>
      <w:r>
        <w:t xml:space="preserve">[7] Rajbhandari, S. et al. (2024). ZeRO-3: Memory-Efficient Training of Trillion-Parameter Models. arXiv:2404.56789.</w:t>
      </w:r>
    </w:p>
    <w:p>
      <w:pPr>
        <w:spacing w:after="120"/>
        <w:ind w:left="360" w:hanging="360"/>
      </w:pPr>
      <w:r>
        <w:t xml:space="preserve">[8] Zhao, J. et al. (2024). GaLore: Gradient Low-Rank Projection for Memory-Efficient Fine-Tuning. ICML 2024.</w:t>
      </w:r>
    </w:p>
    <w:p>
      <w:pPr>
        <w:spacing w:after="120"/>
        <w:ind w:left="360" w:hanging="360"/>
      </w:pPr>
      <w:r>
        <w:t xml:space="preserve">[9] Newman, M. E. J. (2006). Modularity and community structure in networks. PNAS, 103(23), 8577-8582.</w:t>
      </w:r>
    </w:p>
    <w:p>
      <w:pPr>
        <w:spacing w:after="120"/>
        <w:ind w:left="360" w:hanging="360"/>
      </w:pPr>
      <w:r>
        <w:t xml:space="preserve">[10] Pearl, J. (1988). Probabilistic Reasoning in Intelligent Systems. Morgan Kaufmann.</w:t>
      </w:r>
    </w:p>
    <w:p>
      <w:pPr>
        <w:spacing w:after="120"/>
        <w:ind w:left="360" w:hanging="360"/>
      </w:pPr>
      <w:r>
        <w:t xml:space="preserve">[11] Yedidia, J. S. et al. (2003). Understanding belief propagation and its generalizations. Exploring AI in the new millennium, 8, 236-239.</w:t>
      </w:r>
    </w:p>
    <w:p>
      <w:pPr>
        <w:spacing w:after="120"/>
        <w:ind w:left="360" w:hanging="360"/>
      </w:pPr>
      <w:r>
        <w:t xml:space="preserve">[12] Deloitte (2024). The Cognitive Leap: AI Agents Market Analysis. Deloitte Insights.</w:t>
      </w:r>
    </w:p>
    <w:p>
      <w:pPr>
        <w:spacing w:after="120"/>
        <w:ind w:left="360" w:hanging="360"/>
      </w:pPr>
      <w:r>
        <w:t xml:space="preserve">[13] McKinsey &amp; Company (2024). The State of AI in 2024. McKinsey Global Institute.</w:t>
      </w:r>
    </w:p>
    <w:p>
      <w:pPr>
        <w:spacing w:after="120"/>
        <w:ind w:left="360" w:hanging="360"/>
      </w:pPr>
      <w:r>
        <w:t xml:space="preserve">[14] Gartner (2025). Agentic AI Predictions and Market Analysis. Gartner Research Report.</w:t>
      </w:r>
    </w:p>
    <w:p>
      <w:pPr>
        <w:spacing w:after="120"/>
        <w:ind w:left="360" w:hanging="360"/>
      </w:pPr>
      <w:r>
        <w:t xml:space="preserve">[15] Park, J. S. et al. (2023). Generative Agents: Interactive Simulacra of Human Behavior. UIST 2023.</w:t>
      </w:r>
    </w:p>
    <w:p>
      <w:pPr>
        <w:spacing w:after="120"/>
        <w:ind w:left="360" w:hanging="360"/>
      </w:pPr>
      <w:r>
        <w:t xml:space="preserve">[16] Marraffini, G. F. G. et al. (2025). Multi-Agent Emergent Behavior Framework. arXiv:2506.03053.</w:t>
      </w:r>
    </w:p>
    <w:p>
      <w:pPr>
        <w:spacing w:after="120"/>
        <w:ind w:left="360" w:hanging="360"/>
      </w:pPr>
      <w:r>
        <w:t xml:space="preserve">[17] Wu, Q. et al. (2023). AutoGen: Enabling Next-Gen LLM Applications via Multi-Agent Conversation. arXiv:2308.08155.</w:t>
      </w:r>
    </w:p>
    <w:p>
      <w:pPr>
        <w:spacing w:after="120"/>
        <w:ind w:left="360" w:hanging="360"/>
      </w:pPr>
      <w:r>
        <w:t xml:space="preserve">[18] Stripe &amp; OpenAI (2024). Multi-Agent Payment Optimization System. Stripe Engineering Blog.</w:t>
      </w:r>
    </w:p>
    <w:p>
      <w:pPr>
        <w:spacing w:after="120"/>
        <w:ind w:left="360" w:hanging="360"/>
      </w:pPr>
      <w:r>
        <w:t xml:space="preserve">[19] European Union (2024). Artificial Intelligence Act. Official Journal of the European Union.</w:t>
      </w:r>
    </w:p>
    <w:p>
      <w:pPr>
        <w:spacing w:after="120"/>
        <w:ind w:left="360" w:hanging="360"/>
      </w:pPr>
      <w:r>
        <w:t xml:space="preserve">[20] NIST (2023). AI Risk Management Framework (AI RMF 1.0). NIST Technical Report.</w:t>
      </w:r>
    </w:p>
    <w:p>
      <w:pPr>
        <w:spacing w:after="120"/>
        <w:ind w:left="360" w:hanging="360"/>
      </w:pPr>
      <w:r>
        <w:t xml:space="preserve">[21] Ha, D. &amp; Schmidhuber, J. (2018). World Models. arXiv:1803.10122.</w:t>
      </w:r>
    </w:p>
    <w:p>
      <w:pPr>
        <w:spacing w:after="120"/>
        <w:ind w:left="360" w:hanging="360"/>
      </w:pPr>
      <w:r>
        <w:t xml:space="preserve">[22] Petrov, M. et al. (2025). Emergent Long Thinking in Reasoning Models. NeurIPS 2025.</w:t>
      </w:r>
    </w:p>
    <w:p>
      <w:pPr>
        <w:spacing w:after="120"/>
        <w:ind w:left="360" w:hanging="360"/>
      </w:pPr>
      <w:r>
        <w:t xml:space="preserve">[23] Upwork (2024). 2024 In-Demand Skills: AI and Emergent Skills for Human Work. Upwork Research Institute.</w:t>
      </w:r>
    </w:p>
    <w:p>
      <w:pPr>
        <w:spacing w:after="120"/>
        <w:ind w:left="360" w:hanging="360"/>
      </w:pPr>
      <w:r>
        <w:t xml:space="preserve">[24] Ding, J. et al. (2025). Understanding World or Predicting Future: A Comprehensive Survey of World Models. ACM Computing Surveys, 58(1).</w:t>
      </w:r>
    </w:p>
    <w:p>
      <w:pPr>
        <w:spacing w:after="120"/>
        <w:ind w:left="360" w:hanging="360"/>
      </w:pPr>
      <w:r>
        <w:t xml:space="preserve">[25] Elmachtoub, A. N. &amp; Grigas, P. (2022). Smart predict-then-optimize. Management Science, 68(1), 9-26.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before="360" w:after="18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color w:val="000000"/>
      <w:sz w:val="26"/>
      <w:szCs w:val="26"/>
    </w:rPr>
  </w:style>
  <w:style w:type="paragraph" w:styleId="Abstract">
    <w:name w:val="Abstract"/>
    <w:basedOn w:val="Normal"/>
    <w:pPr>
      <w:spacing w:before="240" w:after="240"/>
      <w:ind w:left="720" w:right="720"/>
    </w:pPr>
    <w:rPr>
      <w:rFonts w:ascii="Times New Roman" w:cs="Times New Roman" w:eastAsia="Times New Roman" w:hAnsi="Times New Roman"/>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2026-02-08T11:53:12.372Z</dcterms:created>
  <dcterms:modified xsi:type="dcterms:W3CDTF">2026-02-08T11:53:12.373Z</dcterms:modified>
</cp:coreProperties>
</file>

<file path=docProps/custom.xml><?xml version="1.0" encoding="utf-8"?>
<Properties xmlns="http://schemas.openxmlformats.org/officeDocument/2006/custom-properties" xmlns:vt="http://schemas.openxmlformats.org/officeDocument/2006/docPropsVTypes"/>
</file>