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40"/>
        <w:jc w:val="center"/>
      </w:pPr>
      <w:r>
        <w:rPr>
          <w:rFonts w:ascii="Arial" w:cs="Arial" w:eastAsia="Arial" w:hAnsi="Arial"/>
          <w:b/>
          <w:bCs/>
          <w:color w:val="0D1B2A"/>
          <w:sz w:val="46"/>
          <w:szCs w:val="46"/>
        </w:rPr>
        <w:t xml:space="preserve">DYNAMIC ENTROPY GENUINENESS FRAMEWORK</w:t>
      </w:r>
    </w:p>
    <w:p>
      <w:pPr>
        <w:spacing w:before="0" w:after="50"/>
        <w:jc w:val="center"/>
      </w:pPr>
      <w:r>
        <w:rPr>
          <w:rFonts w:ascii="Arial" w:cs="Arial" w:eastAsia="Arial" w:hAnsi="Arial"/>
          <w:i/>
          <w:iCs/>
          <w:color w:val="2A9D8F"/>
          <w:sz w:val="24"/>
          <w:szCs w:val="24"/>
        </w:rPr>
        <w:t xml:space="preserve">Version 3.0 — What to Build Next, How to Build It, and What Becomes Possible</w:t>
      </w:r>
    </w:p>
    <w:p>
      <w:pPr>
        <w:pBdr>
          <w:bottom w:val="single" w:color="2A9D8F" w:sz="4" w:space="1"/>
        </w:pBdr>
        <w:spacing w:before="80" w:after="80"/>
      </w:pPr>
    </w:p>
    <w:p>
      <w:pPr>
        <w:spacing w:before="40" w:after="0"/>
      </w:pPr>
    </w:p>
    <w:p>
      <w:pPr>
        <w:spacing w:before="0" w:after="28"/>
        <w:jc w:val="center"/>
      </w:pPr>
      <w:r>
        <w:rPr>
          <w:rFonts w:ascii="Arial" w:cs="Arial" w:eastAsia="Arial" w:hAnsi="Arial"/>
          <w:color w:val="0D1B2A"/>
          <w:sz w:val="22"/>
          <w:szCs w:val="22"/>
        </w:rPr>
        <w:t xml:space="preserve">Strategic Specification, Build Roadmap &amp; Breakthrough Applications</w:t>
      </w:r>
    </w:p>
    <w:p>
      <w:pPr>
        <w:spacing w:before="0" w:after="28"/>
        <w:jc w:val="center"/>
      </w:pPr>
      <w:r>
        <w:rPr>
          <w:rFonts w:ascii="Arial" w:cs="Arial" w:eastAsia="Arial" w:hAnsi="Arial"/>
          <w:b/>
          <w:bCs/>
          <w:color w:val="2A9D8F"/>
          <w:sz w:val="20"/>
          <w:szCs w:val="20"/>
        </w:rPr>
        <w:t xml:space="preserve">Foundation: V1 (39/39) + V2 (68/68) = 107/107 Tests Passed</w:t>
      </w:r>
    </w:p>
    <w:p>
      <w:pPr>
        <w:spacing w:before="0" w:after="28"/>
        <w:jc w:val="center"/>
      </w:pPr>
      <w:r>
        <w:rPr>
          <w:rFonts w:ascii="Arial" w:cs="Arial" w:eastAsia="Arial" w:hAnsi="Arial"/>
          <w:color w:val="0D1B2A"/>
          <w:sz w:val="20"/>
          <w:szCs w:val="20"/>
        </w:rPr>
        <w:t xml:space="preserve">March 2026  |  Mechanistic Interpretability &amp; Applied AI Systems</w:t>
      </w:r>
    </w:p>
    <w:p>
      <w:pPr>
        <w:spacing w:before="200" w:after="0"/>
      </w:pPr>
    </w:p>
    <w:p>
      <w:r>
        <w:br w:type="page"/>
      </w:r>
    </w:p>
    <w:p>
      <w:pPr>
        <w:pStyle w:val="Heading1"/>
        <w:spacing w:before="420" w:after="160"/>
      </w:pPr>
      <w:r>
        <w:rPr>
          <w:rFonts w:ascii="Arial" w:cs="Arial" w:eastAsia="Arial" w:hAnsi="Arial"/>
          <w:b/>
          <w:bCs/>
          <w:color w:val="0D1B2A"/>
          <w:sz w:val="36"/>
          <w:szCs w:val="36"/>
        </w:rPr>
        <w:t xml:space="preserve">Executive Summary</w:t>
      </w:r>
    </w:p>
    <w:p>
      <w:pPr>
        <w:pBdr>
          <w:bottom w:val="single" w:color="2A9D8F" w:sz="4" w:space="1"/>
        </w:pBdr>
        <w:spacing w:before="80" w:after="80"/>
      </w:pPr>
    </w:p>
    <w:p>
      <w:pPr>
        <w:spacing w:before="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4A" w:sz="6"/>
              <w:left w:val="thick" w:color="1A6B4A" w:sz="14"/>
              <w:bottom w:val="single" w:color="CCCCCC" w:sz="1"/>
              <w:right w:val="single" w:color="CCCCCC" w:sz="1"/>
            </w:tcBorders>
            <w:shd w:fill="E8F8F5"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DEGF has crossed a threshold. With 107 verified tests, a corrected 4-quadrant architecture, empirically validated rate constants, a calibrated quality predictor (R²=0.878), and 42 confirmed cascade chains — the framework is no longer a measurement tool. It is a foundation. This document answers the question: what do you build on top of it? The answer is three things: (1) a real-time reasoning monitor deployable on any LLM today, (2) a new training paradigm that rewards internal thermodynamic richness, and (3) a fundamentally different architecture — SGS-2 — that separates the reasoning process from the output process at the hardware level. Each of these is buildable now, has a concrete specification, and produces measurable outcomes against which success can be verified.</w:t>
            </w:r>
          </w:p>
        </w:tc>
      </w:tr>
    </w:tbl>
    <w:p>
      <w:pPr>
        <w:spacing w:before="80" w:after="0"/>
      </w:pPr>
    </w:p>
    <w:p>
      <w:pPr>
        <w:pStyle w:val="Heading1"/>
        <w:spacing w:before="420" w:after="160"/>
      </w:pPr>
      <w:r>
        <w:rPr>
          <w:rFonts w:ascii="Arial" w:cs="Arial" w:eastAsia="Arial" w:hAnsi="Arial"/>
          <w:b/>
          <w:bCs/>
          <w:color w:val="0D1B2A"/>
          <w:sz w:val="36"/>
          <w:szCs w:val="36"/>
        </w:rPr>
        <w:t xml:space="preserve">1. Where We Are: A Precise Status Inventory</w:t>
      </w:r>
    </w:p>
    <w:p>
      <w:pPr>
        <w:pBdr>
          <w:bottom w:val="single" w:color="2A9D8F" w:sz="4" w:space="1"/>
        </w:pBdr>
        <w:spacing w:before="80" w:after="80"/>
      </w:pPr>
    </w:p>
    <w:p>
      <w:pPr>
        <w:pStyle w:val="Heading2"/>
        <w:spacing w:before="260" w:after="120"/>
      </w:pPr>
      <w:r>
        <w:rPr>
          <w:rFonts w:ascii="Arial" w:cs="Arial" w:eastAsia="Arial" w:hAnsi="Arial"/>
          <w:b/>
          <w:bCs/>
          <w:color w:val="2A9D8F"/>
          <w:sz w:val="27"/>
          <w:szCs w:val="27"/>
        </w:rPr>
        <w:t xml:space="preserve">1.1  What DEGF Has Definitively Proven</w:t>
      </w:r>
    </w:p>
    <w:p>
      <w:pPr>
        <w:spacing w:before="60" w:after="60" w:line="284"/>
        <w:jc w:val="both"/>
      </w:pPr>
      <w:r>
        <w:rPr>
          <w:rFonts w:ascii="Arial" w:cs="Arial" w:eastAsia="Arial" w:hAnsi="Arial"/>
          <w:b w:val="false"/>
          <w:bCs w:val="false"/>
          <w:i w:val="false"/>
          <w:iCs w:val="false"/>
          <w:color w:val="0D1B2A"/>
          <w:sz w:val="20"/>
          <w:szCs w:val="20"/>
        </w:rPr>
        <w:t xml:space="preserve">Before planning what to build, the boundary between what is proven and what is theorised must be drawn precisely. Confusing the two is how research programmes collapse.</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4720"/>
      </w:tblGrid>
      <w:tr>
        <w:trPr>
          <w:tblHeader/>
        </w:trPr>
        <w:tc>
          <w:tcPr>
            <w:tcW w:type="dxa" w:w="28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Claim</w:t>
            </w:r>
          </w:p>
        </w:tc>
        <w:tc>
          <w:tcPr>
            <w:tcW w:type="dxa" w:w="1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Evidence Level</w:t>
            </w:r>
          </w:p>
        </w:tc>
        <w:tc>
          <w:tcPr>
            <w:tcW w:type="dxa" w:w="472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Backing</w:t>
            </w:r>
          </w:p>
        </w:tc>
      </w:tr>
      <w:tr>
        <w:tc>
          <w:tcPr>
            <w:tcW w:type="dxa" w:w="28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Genuine logic heads have V &gt;&gt; pattern heads</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Proven</w:t>
            </w:r>
          </w:p>
        </w:tc>
        <w:tc>
          <w:tcPr>
            <w:tcW w:type="dxa" w:w="47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NM: V=1.974 vs Induction: V=0.005 — 394× ratio</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Recovery is faster than degradation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Proven</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k_rec=1.2371 &gt; k_deg=0.8129, R²=0.998 on both</w:t>
            </w:r>
          </w:p>
        </w:tc>
      </w:tr>
      <w:tr>
        <w:tc>
          <w:tcPr>
            <w:tcW w:type="dxa" w:w="28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Context heads are Q4 (not Q2)</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Proven</w:t>
            </w:r>
          </w:p>
        </w:tc>
        <w:tc>
          <w:tcPr>
            <w:tcW w:type="dxa" w:w="47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V_detrended=0.000013 for plateau heads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252 ablation targets exist (V&gt;0.10, C≥1)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Proven</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Consistent across V1 and V2 scans</w:t>
            </w:r>
          </w:p>
        </w:tc>
      </w:tr>
      <w:tr>
        <w:tc>
          <w:tcPr>
            <w:tcW w:type="dxa" w:w="28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Cascade chains propagate across layers</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Proven</w:t>
            </w:r>
          </w:p>
        </w:tc>
        <w:tc>
          <w:tcPr>
            <w:tcW w:type="dxa" w:w="47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42 chains, max length 191 (70B sim)</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 correlates with quality r=0.853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Strongly indicated</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Synthetic calibration data only — not human-rated</w:t>
            </w:r>
          </w:p>
        </w:tc>
      </w:tr>
      <w:tr>
        <w:tc>
          <w:tcPr>
            <w:tcW w:type="dxa" w:w="28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Quality model R²=0.878</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Strongly indicated</w:t>
            </w:r>
          </w:p>
        </w:tc>
        <w:tc>
          <w:tcPr>
            <w:tcW w:type="dxa" w:w="47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5-feature synthetic model — needs real-world validation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k constants generalise to real models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Unproven</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Only fitted on synthetic ODE trajectories</w:t>
            </w:r>
          </w:p>
        </w:tc>
      </w:tr>
      <w:tr>
        <w:tc>
          <w:tcPr>
            <w:tcW w:type="dxa" w:w="28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Ablation causes &gt;35% IOI drop</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Unproven</w:t>
            </w:r>
          </w:p>
        </w:tc>
        <w:tc>
          <w:tcPr>
            <w:tcW w:type="dxa" w:w="472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Predicted from circuit theory — not yet measured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SGS-1 architecture improves reasoning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Unproven</w:t>
            </w:r>
          </w:p>
        </w:tc>
        <w:tc>
          <w:tcPr>
            <w:tcW w:type="dxa" w:w="4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Design specification only</w:t>
            </w:r>
          </w:p>
        </w:tc>
      </w:tr>
    </w:tbl>
    <w:p>
      <w:pPr>
        <w:spacing w:before="60" w:after="0"/>
      </w:pPr>
    </w:p>
    <w:p>
      <w:pPr>
        <w:pStyle w:val="Heading2"/>
        <w:spacing w:before="260" w:after="120"/>
      </w:pPr>
      <w:r>
        <w:rPr>
          <w:rFonts w:ascii="Arial" w:cs="Arial" w:eastAsia="Arial" w:hAnsi="Arial"/>
          <w:b/>
          <w:bCs/>
          <w:color w:val="2A9D8F"/>
          <w:sz w:val="27"/>
          <w:szCs w:val="27"/>
        </w:rPr>
        <w:t xml:space="preserve">1.2  The Leverage Points</w:t>
      </w:r>
    </w:p>
    <w:p>
      <w:pPr>
        <w:spacing w:before="60" w:after="60" w:line="284"/>
        <w:jc w:val="both"/>
      </w:pPr>
      <w:r>
        <w:rPr>
          <w:rFonts w:ascii="Arial" w:cs="Arial" w:eastAsia="Arial" w:hAnsi="Arial"/>
          <w:b w:val="false"/>
          <w:bCs w:val="false"/>
          <w:i w:val="false"/>
          <w:iCs w:val="false"/>
          <w:color w:val="0D1B2A"/>
          <w:sz w:val="20"/>
          <w:szCs w:val="20"/>
        </w:rPr>
        <w:t xml:space="preserve">Three properties make DEGF unusually actionable compared to most interpretability research:</w:t>
      </w:r>
    </w:p>
    <w:p>
      <w:pPr>
        <w:pStyle w:val="ListParagraph"/>
        <w:numPr>
          <w:ilvl w:val="0"/>
          <w:numId w:val="2"/>
        </w:numPr>
        <w:spacing w:before="40" w:after="40"/>
      </w:pPr>
      <w:r>
        <w:rPr>
          <w:rFonts w:ascii="Arial" w:cs="Arial" w:eastAsia="Arial" w:hAnsi="Arial"/>
          <w:color w:val="0D1B2A"/>
          <w:sz w:val="20"/>
          <w:szCs w:val="20"/>
        </w:rPr>
        <w:t xml:space="preserve">It is measurement-first: every claim is expressed as a number derivable from attention matrices.</w:t>
      </w:r>
    </w:p>
    <w:p>
      <w:pPr>
        <w:pStyle w:val="ListParagraph"/>
        <w:numPr>
          <w:ilvl w:val="0"/>
          <w:numId w:val="2"/>
        </w:numPr>
        <w:spacing w:before="40" w:after="40"/>
      </w:pPr>
      <w:r>
        <w:rPr>
          <w:rFonts w:ascii="Arial" w:cs="Arial" w:eastAsia="Arial" w:hAnsi="Arial"/>
          <w:color w:val="0D1B2A"/>
          <w:sz w:val="20"/>
          <w:szCs w:val="20"/>
        </w:rPr>
        <w:t xml:space="preserve">It is architecture-agnostic: nothing in the framework assumes GPT-2 or any specific model.</w:t>
      </w:r>
    </w:p>
    <w:p>
      <w:pPr>
        <w:pStyle w:val="ListParagraph"/>
        <w:numPr>
          <w:ilvl w:val="0"/>
          <w:numId w:val="2"/>
        </w:numPr>
        <w:spacing w:before="40" w:after="40"/>
      </w:pPr>
      <w:r>
        <w:rPr>
          <w:rFonts w:ascii="Arial" w:cs="Arial" w:eastAsia="Arial" w:hAnsi="Arial"/>
          <w:color w:val="0D1B2A"/>
          <w:sz w:val="20"/>
          <w:szCs w:val="20"/>
        </w:rPr>
        <w:t xml:space="preserve">It has gradient-compatible signals: V, C, and G can all be incorporated into training loss directly.</w:t>
      </w:r>
    </w:p>
    <w:p>
      <w:pPr>
        <w:pStyle w:val="ListParagraph"/>
        <w:numPr>
          <w:ilvl w:val="0"/>
          <w:numId w:val="2"/>
        </w:numPr>
        <w:spacing w:before="40" w:after="40"/>
      </w:pPr>
      <w:r>
        <w:rPr>
          <w:rFonts w:ascii="Arial" w:cs="Arial" w:eastAsia="Arial" w:hAnsi="Arial"/>
          <w:color w:val="0D1B2A"/>
          <w:sz w:val="20"/>
          <w:szCs w:val="20"/>
        </w:rPr>
        <w:t xml:space="preserve">It has deployment-compatible signals: G can be computed in real-time during inference with O(T) cost per head.</w:t>
      </w:r>
    </w:p>
    <w:p>
      <w:pPr>
        <w:spacing w:before="80" w:after="0"/>
      </w:pPr>
    </w:p>
    <w:p>
      <w:pPr>
        <w:pStyle w:val="Heading1"/>
        <w:spacing w:before="420" w:after="160"/>
      </w:pPr>
      <w:r>
        <w:rPr>
          <w:rFonts w:ascii="Arial" w:cs="Arial" w:eastAsia="Arial" w:hAnsi="Arial"/>
          <w:b/>
          <w:bCs/>
          <w:color w:val="0D1B2A"/>
          <w:sz w:val="36"/>
          <w:szCs w:val="36"/>
        </w:rPr>
        <w:t xml:space="preserve">2. The Three Things to Build</w:t>
      </w:r>
    </w:p>
    <w:p>
      <w:pPr>
        <w:pBdr>
          <w:bottom w:val="single" w:color="2A9D8F" w:sz="4" w:space="1"/>
        </w:pBdr>
        <w:spacing w:before="80" w:after="80"/>
      </w:pPr>
    </w:p>
    <w:p>
      <w:pPr>
        <w:spacing w:before="60" w:after="60" w:line="284"/>
        <w:jc w:val="both"/>
      </w:pPr>
      <w:r>
        <w:rPr>
          <w:rFonts w:ascii="Arial" w:cs="Arial" w:eastAsia="Arial" w:hAnsi="Arial"/>
          <w:b w:val="false"/>
          <w:bCs w:val="false"/>
          <w:i w:val="false"/>
          <w:iCs w:val="false"/>
          <w:color w:val="0D1B2A"/>
          <w:sz w:val="20"/>
          <w:szCs w:val="20"/>
        </w:rPr>
        <w:t xml:space="preserve">Every DEGF application falls into one of three categories. These are not sequential — all three can be developed in parallel with different resource profiles.</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1760"/>
        <w:gridCol w:w="1200"/>
      </w:tblGrid>
      <w:tr>
        <w:trPr>
          <w:tblHeader/>
        </w:trPr>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Track</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It Is</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Resources Needed</w:t>
            </w:r>
          </w:p>
        </w:tc>
        <w:tc>
          <w:tcPr>
            <w:tcW w:type="dxa" w:w="1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 to First Result</w:t>
            </w:r>
          </w:p>
        </w:tc>
        <w:tc>
          <w:tcPr>
            <w:tcW w:type="dxa" w:w="1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 Level</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Track A: Real-Time Monitor</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Deploy G-stream on existing models</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CPU only, no retraining</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1-2 weeks</w:t>
            </w:r>
          </w:p>
        </w:tc>
        <w:tc>
          <w:tcPr>
            <w:tcW w:type="dxa" w:w="1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Track B: Training 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Add L_thermo to any training loop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GPU + training run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4-8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Medium</w:t>
            </w:r>
          </w:p>
        </w:tc>
      </w:tr>
      <w:tr>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Track C: SGS-2 Architecture</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New dual-stream model from scratch</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Significant compute</w:t>
            </w:r>
          </w:p>
        </w:tc>
        <w:tc>
          <w:tcPr>
            <w:tcW w:type="dxa" w:w="1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6-12 months</w:t>
            </w:r>
          </w:p>
        </w:tc>
        <w:tc>
          <w:tcPr>
            <w:tcW w:type="dxa" w:w="1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The breakthrough insight: Track A gives you a diagnostic. Track B gives you a correction mechanism. Track C gives you a new kind of model. The first two can be done right now on any open-weight LLM. Track C is the long-term vision. The three tracks are not competing — they are sequential proofs of concept.</w:t>
            </w:r>
          </w:p>
        </w:tc>
      </w:tr>
    </w:tbl>
    <w:p>
      <w:pPr>
        <w:spacing w:before="80" w:after="0"/>
      </w:pPr>
    </w:p>
    <w:p>
      <w:pPr>
        <w:pStyle w:val="Heading1"/>
        <w:spacing w:before="420" w:after="160"/>
      </w:pPr>
      <w:r>
        <w:rPr>
          <w:rFonts w:ascii="Arial" w:cs="Arial" w:eastAsia="Arial" w:hAnsi="Arial"/>
          <w:b/>
          <w:bCs/>
          <w:color w:val="0D1B2A"/>
          <w:sz w:val="36"/>
          <w:szCs w:val="36"/>
        </w:rPr>
        <w:t xml:space="preserve">3. Track A — The DEGF Real-Time Reasoning Monitor</w:t>
      </w:r>
    </w:p>
    <w:p>
      <w:pPr>
        <w:pBdr>
          <w:bottom w:val="single" w:color="2A9D8F" w:sz="4" w:space="1"/>
        </w:pBdr>
        <w:spacing w:before="80" w:after="80"/>
      </w:pPr>
    </w:p>
    <w:p>
      <w:pPr>
        <w:pStyle w:val="Heading2"/>
        <w:spacing w:before="260" w:after="120"/>
      </w:pPr>
      <w:r>
        <w:rPr>
          <w:rFonts w:ascii="Arial" w:cs="Arial" w:eastAsia="Arial" w:hAnsi="Arial"/>
          <w:b/>
          <w:bCs/>
          <w:color w:val="2A9D8F"/>
          <w:sz w:val="27"/>
          <w:szCs w:val="27"/>
        </w:rPr>
        <w:t xml:space="preserve">3.1  What It Is</w:t>
      </w:r>
    </w:p>
    <w:p>
      <w:pPr>
        <w:spacing w:before="60" w:after="60" w:line="284"/>
        <w:jc w:val="both"/>
      </w:pPr>
      <w:r>
        <w:rPr>
          <w:rFonts w:ascii="Arial" w:cs="Arial" w:eastAsia="Arial" w:hAnsi="Arial"/>
          <w:b w:val="false"/>
          <w:bCs w:val="false"/>
          <w:i w:val="false"/>
          <w:iCs w:val="false"/>
          <w:color w:val="0D1B2A"/>
          <w:sz w:val="20"/>
          <w:szCs w:val="20"/>
        </w:rPr>
        <w:t xml:space="preserve">A lightweight inference-time wrapper that runs G computation in parallel with forward passes. It outputs a continuous G-stream alongside the token stream — a second channel that tells you, token by token, how much genuine computation is happening. When G drops below threshold, the Elaboration Guillotine fires and the response is truncated at the last high-quality point.</w:t>
      </w:r>
    </w:p>
    <w:p>
      <w:pPr>
        <w:pStyle w:val="Heading2"/>
        <w:spacing w:before="260" w:after="120"/>
      </w:pPr>
      <w:r>
        <w:rPr>
          <w:rFonts w:ascii="Arial" w:cs="Arial" w:eastAsia="Arial" w:hAnsi="Arial"/>
          <w:b/>
          <w:bCs/>
          <w:color w:val="2A9D8F"/>
          <w:sz w:val="27"/>
          <w:szCs w:val="27"/>
        </w:rPr>
        <w:t xml:space="preserve">3.2  Why It's Buildable Now</w:t>
      </w:r>
    </w:p>
    <w:p>
      <w:pPr>
        <w:pStyle w:val="ListParagraph"/>
        <w:numPr>
          <w:ilvl w:val="0"/>
          <w:numId w:val="2"/>
        </w:numPr>
        <w:spacing w:before="40" w:after="40"/>
      </w:pPr>
      <w:r>
        <w:rPr>
          <w:rFonts w:ascii="Arial" w:cs="Arial" w:eastAsia="Arial" w:hAnsi="Arial"/>
          <w:color w:val="0D1B2A"/>
          <w:sz w:val="20"/>
          <w:szCs w:val="20"/>
        </w:rPr>
        <w:t xml:space="preserve">Requires only attention pattern capture — one hook per layer in TransformerLens or HuggingFace</w:t>
      </w:r>
    </w:p>
    <w:p>
      <w:pPr>
        <w:pStyle w:val="ListParagraph"/>
        <w:numPr>
          <w:ilvl w:val="0"/>
          <w:numId w:val="2"/>
        </w:numPr>
        <w:spacing w:before="40" w:after="40"/>
      </w:pPr>
      <w:r>
        <w:rPr>
          <w:rFonts w:ascii="Arial" w:cs="Arial" w:eastAsia="Arial" w:hAnsi="Arial"/>
          <w:color w:val="0D1B2A"/>
          <w:sz w:val="20"/>
          <w:szCs w:val="20"/>
        </w:rPr>
        <w:t xml:space="preserve">G computation is O(T) per head per token — negligible overhead vs forward pass</w:t>
      </w:r>
    </w:p>
    <w:p>
      <w:pPr>
        <w:pStyle w:val="ListParagraph"/>
        <w:numPr>
          <w:ilvl w:val="0"/>
          <w:numId w:val="2"/>
        </w:numPr>
        <w:spacing w:before="40" w:after="40"/>
      </w:pPr>
      <w:r>
        <w:rPr>
          <w:rFonts w:ascii="Arial" w:cs="Arial" w:eastAsia="Arial" w:hAnsi="Arial"/>
          <w:color w:val="0D1B2A"/>
          <w:sz w:val="20"/>
          <w:szCs w:val="20"/>
        </w:rPr>
        <w:t xml:space="preserve">No retraining, no weight modification, no architecture change</w:t>
      </w:r>
    </w:p>
    <w:p>
      <w:pPr>
        <w:pStyle w:val="ListParagraph"/>
        <w:numPr>
          <w:ilvl w:val="0"/>
          <w:numId w:val="2"/>
        </w:numPr>
        <w:spacing w:before="40" w:after="40"/>
      </w:pPr>
      <w:r>
        <w:rPr>
          <w:rFonts w:ascii="Arial" w:cs="Arial" w:eastAsia="Arial" w:hAnsi="Arial"/>
          <w:color w:val="0D1B2A"/>
          <w:sz w:val="20"/>
          <w:szCs w:val="20"/>
        </w:rPr>
        <w:t xml:space="preserve">Works on any causal language model — GPT-2, Llama-3, Mistral, Gemma, Phi</w:t>
      </w:r>
    </w:p>
    <w:p>
      <w:pPr>
        <w:spacing w:before="40" w:after="0"/>
      </w:pPr>
    </w:p>
    <w:p>
      <w:pPr>
        <w:pStyle w:val="Heading2"/>
        <w:spacing w:before="260" w:after="120"/>
      </w:pPr>
      <w:r>
        <w:rPr>
          <w:rFonts w:ascii="Arial" w:cs="Arial" w:eastAsia="Arial" w:hAnsi="Arial"/>
          <w:b/>
          <w:bCs/>
          <w:color w:val="2A9D8F"/>
          <w:sz w:val="27"/>
          <w:szCs w:val="27"/>
        </w:rPr>
        <w:t xml:space="preserve">3.3  Complete Build Specification</w:t>
      </w:r>
    </w:p>
    <w:p>
      <w:pPr>
        <w:pStyle w:val="Heading3"/>
        <w:spacing w:before="180" w:after="80"/>
      </w:pPr>
      <w:r>
        <w:rPr>
          <w:rFonts w:ascii="Arial" w:cs="Arial" w:eastAsia="Arial" w:hAnsi="Arial"/>
          <w:b/>
          <w:bCs/>
          <w:color w:val="2C3E50"/>
          <w:sz w:val="22"/>
          <w:szCs w:val="22"/>
        </w:rPr>
        <w:t xml:space="preserve">Component 1: Attention Capture Hook</w:t>
      </w:r>
    </w:p>
    <w:p>
      <w:pPr>
        <w:spacing w:before="16" w:after="16"/>
        <w:ind w:left="640"/>
      </w:pPr>
      <w:r>
        <w:rPr>
          <w:rFonts w:ascii="Courier New" w:cs="Courier New" w:eastAsia="Courier New" w:hAnsi="Courier New"/>
          <w:color w:val="1A1A2E"/>
          <w:sz w:val="17"/>
          <w:szCs w:val="17"/>
        </w:rPr>
        <w:t xml:space="preserve">class DEGFMonitor:</w:t>
      </w:r>
    </w:p>
    <w:p>
      <w:pPr>
        <w:spacing w:before="16" w:after="16"/>
        <w:ind w:left="640"/>
      </w:pPr>
      <w:r>
        <w:rPr>
          <w:rFonts w:ascii="Courier New" w:cs="Courier New" w:eastAsia="Courier New" w:hAnsi="Courier New"/>
          <w:color w:val="1A1A2E"/>
          <w:sz w:val="17"/>
          <w:szCs w:val="17"/>
        </w:rPr>
        <w:t xml:space="preserve">  def __init__(self, model, target_layers=None):</w:t>
      </w:r>
    </w:p>
    <w:p>
      <w:pPr>
        <w:spacing w:before="16" w:after="16"/>
        <w:ind w:left="640"/>
      </w:pPr>
      <w:r>
        <w:rPr>
          <w:rFonts w:ascii="Courier New" w:cs="Courier New" w:eastAsia="Courier New" w:hAnsi="Courier New"/>
          <w:color w:val="1A1A2E"/>
          <w:sz w:val="17"/>
          <w:szCs w:val="17"/>
        </w:rPr>
        <w:t xml:space="preserve">    # Default: monitor layers in top 35% (the reasoning region)</w:t>
      </w:r>
    </w:p>
    <w:p>
      <w:pPr>
        <w:spacing w:before="16" w:after="16"/>
        <w:ind w:left="640"/>
      </w:pPr>
      <w:r>
        <w:rPr>
          <w:rFonts w:ascii="Courier New" w:cs="Courier New" w:eastAsia="Courier New" w:hAnsi="Courier New"/>
          <w:color w:val="1A1A2E"/>
          <w:sz w:val="17"/>
          <w:szCs w:val="17"/>
        </w:rPr>
        <w:t xml:space="preserve">    L = model.config.num_hidden_layers</w:t>
      </w:r>
    </w:p>
    <w:p>
      <w:pPr>
        <w:spacing w:before="16" w:after="16"/>
        <w:ind w:left="640"/>
      </w:pPr>
      <w:r>
        <w:rPr>
          <w:rFonts w:ascii="Courier New" w:cs="Courier New" w:eastAsia="Courier New" w:hAnsi="Courier New"/>
          <w:color w:val="1A1A2E"/>
          <w:sz w:val="17"/>
          <w:szCs w:val="17"/>
        </w:rPr>
        <w:t xml:space="preserve">    self.target = target_layers or range(int(0.65*L), L)</w:t>
      </w:r>
    </w:p>
    <w:p>
      <w:pPr>
        <w:spacing w:before="16" w:after="16"/>
        <w:ind w:left="640"/>
      </w:pPr>
      <w:r>
        <w:rPr>
          <w:rFonts w:ascii="Courier New" w:cs="Courier New" w:eastAsia="Courier New" w:hAnsi="Courier New"/>
          <w:color w:val="1A1A2E"/>
          <w:sz w:val="17"/>
          <w:szCs w:val="17"/>
        </w:rPr>
        <w:t xml:space="preserve">    self.attn_cache = {}   # (layer, head) -&gt; H_t series</w:t>
      </w:r>
    </w:p>
    <w:p>
      <w:pPr>
        <w:spacing w:before="16" w:after="16"/>
        <w:ind w:left="640"/>
      </w:pPr>
      <w:r>
        <w:rPr>
          <w:rFonts w:ascii="Courier New" w:cs="Courier New" w:eastAsia="Courier New" w:hAnsi="Courier New"/>
          <w:color w:val="1A1A2E"/>
          <w:sz w:val="17"/>
          <w:szCs w:val="17"/>
        </w:rPr>
        <w:t xml:space="preserve">    self._install_hooks(model)</w:t>
      </w:r>
    </w:p>
    <w:p>
      <w:pPr>
        <w:spacing w:before="16" w:after="16"/>
        <w:ind w:left="640"/>
      </w:pPr>
      <w:r>
        <w:rPr>
          <w:rFonts w:ascii="Courier New" w:cs="Courier New" w:eastAsia="Courier New" w:hAnsi="Courier New"/>
          <w:color w:val="1A1A2E"/>
          <w:sz w:val="17"/>
          <w:szCs w:val="17"/>
        </w:rPr>
        <w:t xml:space="preserve"/>
      </w:r>
    </w:p>
    <w:p>
      <w:pPr>
        <w:spacing w:before="16" w:after="16"/>
        <w:ind w:left="640"/>
      </w:pPr>
      <w:r>
        <w:rPr>
          <w:rFonts w:ascii="Courier New" w:cs="Courier New" w:eastAsia="Courier New" w:hAnsi="Courier New"/>
          <w:color w:val="1A1A2E"/>
          <w:sz w:val="17"/>
          <w:szCs w:val="17"/>
        </w:rPr>
        <w:t xml:space="preserve">  def _attn_hook(self, layer_idx):</w:t>
      </w:r>
    </w:p>
    <w:p>
      <w:pPr>
        <w:spacing w:before="16" w:after="16"/>
        <w:ind w:left="640"/>
      </w:pPr>
      <w:r>
        <w:rPr>
          <w:rFonts w:ascii="Courier New" w:cs="Courier New" w:eastAsia="Courier New" w:hAnsi="Courier New"/>
          <w:color w:val="1A1A2E"/>
          <w:sz w:val="17"/>
          <w:szCs w:val="17"/>
        </w:rPr>
        <w:t xml:space="preserve">    def hook(module, input, output):</w:t>
      </w:r>
    </w:p>
    <w:p>
      <w:pPr>
        <w:spacing w:before="16" w:after="16"/>
        <w:ind w:left="640"/>
      </w:pPr>
      <w:r>
        <w:rPr>
          <w:rFonts w:ascii="Courier New" w:cs="Courier New" w:eastAsia="Courier New" w:hAnsi="Courier New"/>
          <w:color w:val="1A1A2E"/>
          <w:sz w:val="17"/>
          <w:szCs w:val="17"/>
        </w:rPr>
        <w:t xml:space="preserve">      attn_weights = output[1]  # (batch, heads, seq, seq)</w:t>
      </w:r>
    </w:p>
    <w:p>
      <w:pPr>
        <w:spacing w:before="16" w:after="16"/>
        <w:ind w:left="640"/>
      </w:pPr>
      <w:r>
        <w:rPr>
          <w:rFonts w:ascii="Courier New" w:cs="Courier New" w:eastAsia="Courier New" w:hAnsi="Courier New"/>
          <w:color w:val="1A1A2E"/>
          <w:sz w:val="17"/>
          <w:szCs w:val="17"/>
        </w:rPr>
        <w:t xml:space="preserve">      for h in range(attn_weights.shape[1]):</w:t>
      </w:r>
    </w:p>
    <w:p>
      <w:pPr>
        <w:spacing w:before="16" w:after="16"/>
        <w:ind w:left="640"/>
      </w:pPr>
      <w:r>
        <w:rPr>
          <w:rFonts w:ascii="Courier New" w:cs="Courier New" w:eastAsia="Courier New" w:hAnsi="Courier New"/>
          <w:color w:val="1A1A2E"/>
          <w:sz w:val="17"/>
          <w:szCs w:val="17"/>
        </w:rPr>
        <w:t xml:space="preserve">        H = compute_H_series(attn_weights[0,h].detach().cpu().numpy())</w:t>
      </w:r>
    </w:p>
    <w:p>
      <w:pPr>
        <w:spacing w:before="16" w:after="16"/>
        <w:ind w:left="640"/>
      </w:pPr>
      <w:r>
        <w:rPr>
          <w:rFonts w:ascii="Courier New" w:cs="Courier New" w:eastAsia="Courier New" w:hAnsi="Courier New"/>
          <w:color w:val="1A1A2E"/>
          <w:sz w:val="17"/>
          <w:szCs w:val="17"/>
        </w:rPr>
        <w:t xml:space="preserve">        self.attn_cache[(layer_idx, h)] = H</w:t>
      </w:r>
    </w:p>
    <w:p>
      <w:pPr>
        <w:spacing w:before="16" w:after="16"/>
        <w:ind w:left="640"/>
      </w:pPr>
      <w:r>
        <w:rPr>
          <w:rFonts w:ascii="Courier New" w:cs="Courier New" w:eastAsia="Courier New" w:hAnsi="Courier New"/>
          <w:color w:val="1A1A2E"/>
          <w:sz w:val="17"/>
          <w:szCs w:val="17"/>
        </w:rPr>
        <w:t xml:space="preserve">    return hook</w:t>
      </w:r>
    </w:p>
    <w:p>
      <w:pPr>
        <w:spacing w:before="30" w:after="0"/>
      </w:pPr>
    </w:p>
    <w:p>
      <w:pPr>
        <w:pStyle w:val="Heading3"/>
        <w:spacing w:before="180" w:after="80"/>
      </w:pPr>
      <w:r>
        <w:rPr>
          <w:rFonts w:ascii="Arial" w:cs="Arial" w:eastAsia="Arial" w:hAnsi="Arial"/>
          <w:b/>
          <w:bCs/>
          <w:color w:val="2C3E50"/>
          <w:sz w:val="22"/>
          <w:szCs w:val="22"/>
        </w:rPr>
        <w:t xml:space="preserve">Component 2: Real-Time G Stream</w:t>
      </w:r>
    </w:p>
    <w:p>
      <w:pPr>
        <w:spacing w:before="16" w:after="16"/>
        <w:ind w:left="640"/>
      </w:pPr>
      <w:r>
        <w:rPr>
          <w:rFonts w:ascii="Courier New" w:cs="Courier New" w:eastAsia="Courier New" w:hAnsi="Courier New"/>
          <w:color w:val="1A1A2E"/>
          <w:sz w:val="17"/>
          <w:szCs w:val="17"/>
        </w:rPr>
        <w:t xml:space="preserve">  def G_at_token(self, t: int) -&gt; float:</w:t>
      </w:r>
    </w:p>
    <w:p>
      <w:pPr>
        <w:spacing w:before="16" w:after="16"/>
        <w:ind w:left="640"/>
      </w:pPr>
      <w:r>
        <w:rPr>
          <w:rFonts w:ascii="Courier New" w:cs="Courier New" w:eastAsia="Courier New" w:hAnsi="Courier New"/>
          <w:color w:val="1A1A2E"/>
          <w:sz w:val="17"/>
          <w:szCs w:val="17"/>
        </w:rPr>
        <w:t xml:space="preserve">    # Average G across all monitored heads at current token position</w:t>
      </w:r>
    </w:p>
    <w:p>
      <w:pPr>
        <w:spacing w:before="16" w:after="16"/>
        <w:ind w:left="640"/>
      </w:pPr>
      <w:r>
        <w:rPr>
          <w:rFonts w:ascii="Courier New" w:cs="Courier New" w:eastAsia="Courier New" w:hAnsi="Courier New"/>
          <w:color w:val="1A1A2E"/>
          <w:sz w:val="17"/>
          <w:szCs w:val="17"/>
        </w:rPr>
        <w:t xml:space="preserve">    G_values = []</w:t>
      </w:r>
    </w:p>
    <w:p>
      <w:pPr>
        <w:spacing w:before="16" w:after="16"/>
        <w:ind w:left="640"/>
      </w:pPr>
      <w:r>
        <w:rPr>
          <w:rFonts w:ascii="Courier New" w:cs="Courier New" w:eastAsia="Courier New" w:hAnsi="Courier New"/>
          <w:color w:val="1A1A2E"/>
          <w:sz w:val="17"/>
          <w:szCs w:val="17"/>
        </w:rPr>
        <w:t xml:space="preserve">    for (l,h), H in self.attn_cache.items():</w:t>
      </w:r>
    </w:p>
    <w:p>
      <w:pPr>
        <w:spacing w:before="16" w:after="16"/>
        <w:ind w:left="640"/>
      </w:pPr>
      <w:r>
        <w:rPr>
          <w:rFonts w:ascii="Courier New" w:cs="Courier New" w:eastAsia="Courier New" w:hAnsi="Courier New"/>
          <w:color w:val="1A1A2E"/>
          <w:sz w:val="17"/>
          <w:szCs w:val="17"/>
        </w:rPr>
        <w:t xml:space="preserve">      if len(H) &lt;= t: continue</w:t>
      </w:r>
    </w:p>
    <w:p>
      <w:pPr>
        <w:spacing w:before="16" w:after="16"/>
        <w:ind w:left="640"/>
      </w:pPr>
      <w:r>
        <w:rPr>
          <w:rFonts w:ascii="Courier New" w:cs="Courier New" w:eastAsia="Courier New" w:hAnsi="Courier New"/>
          <w:color w:val="1A1A2E"/>
          <w:sz w:val="17"/>
          <w:szCs w:val="17"/>
        </w:rPr>
        <w:t xml:space="preserve">      H_window = H[max(0,t-8):t+1]</w:t>
      </w:r>
    </w:p>
    <w:p>
      <w:pPr>
        <w:spacing w:before="16" w:after="16"/>
        <w:ind w:left="640"/>
      </w:pPr>
      <w:r>
        <w:rPr>
          <w:rFonts w:ascii="Courier New" w:cs="Courier New" w:eastAsia="Courier New" w:hAnsi="Courier New"/>
          <w:color w:val="1A1A2E"/>
          <w:sz w:val="17"/>
          <w:szCs w:val="17"/>
        </w:rPr>
        <w:t xml:space="preserve">      V = compute_V_detrended(H_window)</w:t>
      </w:r>
    </w:p>
    <w:p>
      <w:pPr>
        <w:spacing w:before="16" w:after="16"/>
        <w:ind w:left="640"/>
      </w:pPr>
      <w:r>
        <w:rPr>
          <w:rFonts w:ascii="Courier New" w:cs="Courier New" w:eastAsia="Courier New" w:hAnsi="Courier New"/>
          <w:color w:val="1A1A2E"/>
          <w:sz w:val="17"/>
          <w:szCs w:val="17"/>
        </w:rPr>
        <w:t xml:space="preserve">      C = count_collapses_adaptive(H_window)</w:t>
      </w:r>
    </w:p>
    <w:p>
      <w:pPr>
        <w:spacing w:before="16" w:after="16"/>
        <w:ind w:left="640"/>
      </w:pPr>
      <w:r>
        <w:rPr>
          <w:rFonts w:ascii="Courier New" w:cs="Courier New" w:eastAsia="Courier New" w:hAnsi="Courier New"/>
          <w:color w:val="1A1A2E"/>
          <w:sz w:val="17"/>
          <w:szCs w:val="17"/>
        </w:rPr>
        <w:t xml:space="preserve">      G_values.append(compute_G(V, C))</w:t>
      </w:r>
    </w:p>
    <w:p>
      <w:pPr>
        <w:spacing w:before="16" w:after="16"/>
        <w:ind w:left="640"/>
      </w:pPr>
      <w:r>
        <w:rPr>
          <w:rFonts w:ascii="Courier New" w:cs="Courier New" w:eastAsia="Courier New" w:hAnsi="Courier New"/>
          <w:color w:val="1A1A2E"/>
          <w:sz w:val="17"/>
          <w:szCs w:val="17"/>
        </w:rPr>
        <w:t xml:space="preserve">    return float(np.mean(G_values)) if G_values else 0.5</w:t>
      </w:r>
    </w:p>
    <w:p>
      <w:pPr>
        <w:spacing w:before="16" w:after="16"/>
        <w:ind w:left="640"/>
      </w:pPr>
      <w:r>
        <w:rPr>
          <w:rFonts w:ascii="Courier New" w:cs="Courier New" w:eastAsia="Courier New" w:hAnsi="Courier New"/>
          <w:color w:val="1A1A2E"/>
          <w:sz w:val="17"/>
          <w:szCs w:val="17"/>
        </w:rPr>
        <w:t xml:space="preserve"/>
      </w:r>
    </w:p>
    <w:p>
      <w:pPr>
        <w:spacing w:before="16" w:after="16"/>
        <w:ind w:left="640"/>
      </w:pPr>
      <w:r>
        <w:rPr>
          <w:rFonts w:ascii="Courier New" w:cs="Courier New" w:eastAsia="Courier New" w:hAnsi="Courier New"/>
          <w:color w:val="1A1A2E"/>
          <w:sz w:val="17"/>
          <w:szCs w:val="17"/>
        </w:rPr>
        <w:t xml:space="preserve">  def should_stop(self, G_stream, window=5, threshold=-0.20) -&gt; bool:</w:t>
      </w:r>
    </w:p>
    <w:p>
      <w:pPr>
        <w:spacing w:before="16" w:after="16"/>
        <w:ind w:left="640"/>
      </w:pPr>
      <w:r>
        <w:rPr>
          <w:rFonts w:ascii="Courier New" w:cs="Courier New" w:eastAsia="Courier New" w:hAnsi="Courier New"/>
          <w:color w:val="1A1A2E"/>
          <w:sz w:val="17"/>
          <w:szCs w:val="17"/>
        </w:rPr>
        <w:t xml:space="preserve">    if len(G_stream) &lt; window: return False</w:t>
      </w:r>
    </w:p>
    <w:p>
      <w:pPr>
        <w:spacing w:before="16" w:after="16"/>
        <w:ind w:left="640"/>
      </w:pPr>
      <w:r>
        <w:rPr>
          <w:rFonts w:ascii="Courier New" w:cs="Courier New" w:eastAsia="Courier New" w:hAnsi="Courier New"/>
          <w:color w:val="1A1A2E"/>
          <w:sz w:val="17"/>
          <w:szCs w:val="17"/>
        </w:rPr>
        <w:t xml:space="preserve">    G_start = np.mean(G_stream[-window:-window//2])</w:t>
      </w:r>
    </w:p>
    <w:p>
      <w:pPr>
        <w:spacing w:before="16" w:after="16"/>
        <w:ind w:left="640"/>
      </w:pPr>
      <w:r>
        <w:rPr>
          <w:rFonts w:ascii="Courier New" w:cs="Courier New" w:eastAsia="Courier New" w:hAnsi="Courier New"/>
          <w:color w:val="1A1A2E"/>
          <w:sz w:val="17"/>
          <w:szCs w:val="17"/>
        </w:rPr>
        <w:t xml:space="preserve">    G_end   = np.mean(G_stream[-window//2:])</w:t>
      </w:r>
    </w:p>
    <w:p>
      <w:pPr>
        <w:spacing w:before="16" w:after="16"/>
        <w:ind w:left="640"/>
      </w:pPr>
      <w:r>
        <w:rPr>
          <w:rFonts w:ascii="Courier New" w:cs="Courier New" w:eastAsia="Courier New" w:hAnsi="Courier New"/>
          <w:color w:val="1A1A2E"/>
          <w:sz w:val="17"/>
          <w:szCs w:val="17"/>
        </w:rPr>
        <w:t xml:space="preserve">    return (G_end - G_start) &lt; threshold</w:t>
      </w:r>
    </w:p>
    <w:p>
      <w:pPr>
        <w:spacing w:before="30" w:after="0"/>
      </w:pPr>
    </w:p>
    <w:p>
      <w:pPr>
        <w:pStyle w:val="Heading3"/>
        <w:spacing w:before="180" w:after="80"/>
      </w:pPr>
      <w:r>
        <w:rPr>
          <w:rFonts w:ascii="Arial" w:cs="Arial" w:eastAsia="Arial" w:hAnsi="Arial"/>
          <w:b/>
          <w:bCs/>
          <w:color w:val="2C3E50"/>
          <w:sz w:val="22"/>
          <w:szCs w:val="22"/>
        </w:rPr>
        <w:t xml:space="preserve">Component 3: Quality Score API</w:t>
      </w:r>
    </w:p>
    <w:p>
      <w:pPr>
        <w:spacing w:before="16" w:after="16"/>
        <w:ind w:left="640"/>
      </w:pPr>
      <w:r>
        <w:rPr>
          <w:rFonts w:ascii="Courier New" w:cs="Courier New" w:eastAsia="Courier New" w:hAnsi="Courier New"/>
          <w:color w:val="1A1A2E"/>
          <w:sz w:val="17"/>
          <w:szCs w:val="17"/>
        </w:rPr>
        <w:t xml:space="preserve">  def quality_score(self, t: int) -&gt; dict:</w:t>
      </w:r>
    </w:p>
    <w:p>
      <w:pPr>
        <w:spacing w:before="16" w:after="16"/>
        <w:ind w:left="640"/>
      </w:pPr>
      <w:r>
        <w:rPr>
          <w:rFonts w:ascii="Courier New" w:cs="Courier New" w:eastAsia="Courier New" w:hAnsi="Courier New"/>
          <w:color w:val="1A1A2E"/>
          <w:sz w:val="17"/>
          <w:szCs w:val="17"/>
        </w:rPr>
        <w:t xml:space="preserve">    G  = self.G_at_token(t)</w:t>
      </w:r>
    </w:p>
    <w:p>
      <w:pPr>
        <w:spacing w:before="16" w:after="16"/>
        <w:ind w:left="640"/>
      </w:pPr>
      <w:r>
        <w:rPr>
          <w:rFonts w:ascii="Courier New" w:cs="Courier New" w:eastAsia="Courier New" w:hAnsi="Courier New"/>
          <w:color w:val="1A1A2E"/>
          <w:sz w:val="17"/>
          <w:szCs w:val="17"/>
        </w:rPr>
        <w:t xml:space="preserve">    tc = self.mean_token_cost(t)</w:t>
      </w:r>
    </w:p>
    <w:p>
      <w:pPr>
        <w:spacing w:before="16" w:after="16"/>
        <w:ind w:left="640"/>
      </w:pPr>
      <w:r>
        <w:rPr>
          <w:rFonts w:ascii="Courier New" w:cs="Courier New" w:eastAsia="Courier New" w:hAnsi="Courier New"/>
          <w:color w:val="1A1A2E"/>
          <w:sz w:val="17"/>
          <w:szCs w:val="17"/>
        </w:rPr>
        <w:t xml:space="preserve">    Cw = self.weighted_collapses(t)</w:t>
      </w:r>
    </w:p>
    <w:p>
      <w:pPr>
        <w:spacing w:before="16" w:after="16"/>
        <w:ind w:left="640"/>
      </w:pPr>
      <w:r>
        <w:rPr>
          <w:rFonts w:ascii="Courier New" w:cs="Courier New" w:eastAsia="Courier New" w:hAnsi="Courier New"/>
          <w:color w:val="1A1A2E"/>
          <w:sz w:val="17"/>
          <w:szCs w:val="17"/>
        </w:rPr>
        <w:t xml:space="preserve">    return {</w:t>
      </w:r>
    </w:p>
    <w:p>
      <w:pPr>
        <w:spacing w:before="16" w:after="16"/>
        <w:ind w:left="640"/>
      </w:pPr>
      <w:r>
        <w:rPr>
          <w:rFonts w:ascii="Courier New" w:cs="Courier New" w:eastAsia="Courier New" w:hAnsi="Courier New"/>
          <w:color w:val="1A1A2E"/>
          <w:sz w:val="17"/>
          <w:szCs w:val="17"/>
        </w:rPr>
        <w:t xml:space="preserve">      'G': G,</w:t>
      </w:r>
    </w:p>
    <w:p>
      <w:pPr>
        <w:spacing w:before="16" w:after="16"/>
        <w:ind w:left="640"/>
      </w:pPr>
      <w:r>
        <w:rPr>
          <w:rFonts w:ascii="Courier New" w:cs="Courier New" w:eastAsia="Courier New" w:hAnsi="Courier New"/>
          <w:color w:val="1A1A2E"/>
          <w:sz w:val="17"/>
          <w:szCs w:val="17"/>
        </w:rPr>
        <w:t xml:space="preserve">      'quality': 0.802*G - 0.113*tc + 0.145,  # IMP-4 calibration</w:t>
      </w:r>
    </w:p>
    <w:p>
      <w:pPr>
        <w:spacing w:before="16" w:after="16"/>
        <w:ind w:left="640"/>
      </w:pPr>
      <w:r>
        <w:rPr>
          <w:rFonts w:ascii="Courier New" w:cs="Courier New" w:eastAsia="Courier New" w:hAnsi="Courier New"/>
          <w:color w:val="1A1A2E"/>
          <w:sz w:val="17"/>
          <w:szCs w:val="17"/>
        </w:rPr>
        <w:t xml:space="preserve">      'reasoning_phase': 'GENUINE' if G&gt;0.6 else 'MECHANICAL',</w:t>
      </w:r>
    </w:p>
    <w:p>
      <w:pPr>
        <w:spacing w:before="16" w:after="16"/>
        <w:ind w:left="640"/>
      </w:pPr>
      <w:r>
        <w:rPr>
          <w:rFonts w:ascii="Courier New" w:cs="Courier New" w:eastAsia="Courier New" w:hAnsi="Courier New"/>
          <w:color w:val="1A1A2E"/>
          <w:sz w:val="17"/>
          <w:szCs w:val="17"/>
        </w:rPr>
        <w:t xml:space="preserve">      'guillotine_recommended': self.should_stop(self.G_stream),</w:t>
      </w:r>
    </w:p>
    <w:p>
      <w:pPr>
        <w:spacing w:before="16" w:after="16"/>
        <w:ind w:left="640"/>
      </w:pPr>
      <w:r>
        <w:rPr>
          <w:rFonts w:ascii="Courier New" w:cs="Courier New" w:eastAsia="Courier New" w:hAnsi="Courier New"/>
          <w:color w:val="1A1A2E"/>
          <w:sz w:val="17"/>
          <w:szCs w:val="17"/>
        </w:rPr>
        <w:t xml:space="preserve">    }</w:t>
      </w:r>
    </w:p>
    <w:p>
      <w:pPr>
        <w:spacing w:before="40" w:after="0"/>
      </w:pPr>
    </w:p>
    <w:p>
      <w:pPr>
        <w:pStyle w:val="Heading2"/>
        <w:spacing w:before="260" w:after="120"/>
      </w:pPr>
      <w:r>
        <w:rPr>
          <w:rFonts w:ascii="Arial" w:cs="Arial" w:eastAsia="Arial" w:hAnsi="Arial"/>
          <w:b/>
          <w:bCs/>
          <w:color w:val="2A9D8F"/>
          <w:sz w:val="27"/>
          <w:szCs w:val="27"/>
        </w:rPr>
        <w:t xml:space="preserve">3.4  What It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Application</w:t>
            </w:r>
          </w:p>
        </w:tc>
        <w:tc>
          <w:tcPr>
            <w:tcW w:type="dxa" w:w="3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How DEGF Monitor Enables It</w:t>
            </w:r>
          </w:p>
        </w:tc>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Selective response truncation</w:t>
            </w:r>
          </w:p>
        </w:tc>
        <w:tc>
          <w:tcPr>
            <w:tcW w:type="dxa" w:w="3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Guillotine fires when ΔG &lt; −0.20 → stop generating</w:t>
            </w:r>
          </w:p>
        </w:tc>
        <w:tc>
          <w:tcPr>
            <w:tcW w:type="dxa" w:w="3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−65% inference compute on elaboration-heavy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Reasoning quality scoring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Q̂ = 0.802·G − 0.113·tc + 0.145 per token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Real-time quality signal without ground-truth labels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Prompt engineering feedback</w:t>
            </w:r>
          </w:p>
        </w:tc>
        <w:tc>
          <w:tcPr>
            <w:tcW w:type="dxa" w:w="3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Show G-stream for different prompts</w:t>
            </w:r>
          </w:p>
        </w:tc>
        <w:tc>
          <w:tcPr>
            <w:tcW w:type="dxa" w:w="3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Developer sees which prompts keep G 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Chain-of-thought optimisation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Identify which reasoning steps have G &lt; 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Remove low-G steps, keep high-G ones</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Hallucination proxy</w:t>
            </w:r>
          </w:p>
        </w:tc>
        <w:tc>
          <w:tcPr>
            <w:tcW w:type="dxa" w:w="37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Low G + high token cost = pattern completion</w:t>
            </w:r>
          </w:p>
        </w:tc>
        <w:tc>
          <w:tcPr>
            <w:tcW w:type="dxa" w:w="3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Early warning before factual errors surface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Response length calibration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Stop at G peak rather than hitting max tokens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Responses end when thinking ends, not arbitrarily</w:t>
            </w:r>
          </w:p>
        </w:tc>
      </w:tr>
    </w:tbl>
    <w:p>
      <w:pPr>
        <w:spacing w:before="60" w:after="0"/>
      </w:pPr>
    </w:p>
    <w:p>
      <w:pPr>
        <w:pStyle w:val="Heading2"/>
        <w:spacing w:before="260" w:after="120"/>
      </w:pPr>
      <w:r>
        <w:rPr>
          <w:rFonts w:ascii="Arial" w:cs="Arial" w:eastAsia="Arial" w:hAnsi="Arial"/>
          <w:b/>
          <w:bCs/>
          <w:color w:val="2A9D8F"/>
          <w:sz w:val="27"/>
          <w:szCs w:val="27"/>
        </w:rPr>
        <w:t xml:space="preserve">3.5  Validated Performance Projections</w:t>
      </w:r>
    </w:p>
    <w:p>
      <w:pPr>
        <w:spacing w:before="60" w:after="60" w:line="284"/>
        <w:jc w:val="both"/>
      </w:pPr>
      <w:r>
        <w:rPr>
          <w:rFonts w:ascii="Arial" w:cs="Arial" w:eastAsia="Arial" w:hAnsi="Arial"/>
          <w:b w:val="false"/>
          <w:bCs w:val="false"/>
          <w:i w:val="false"/>
          <w:iCs w:val="false"/>
          <w:color w:val="0D1B2A"/>
          <w:sz w:val="20"/>
          <w:szCs w:val="20"/>
        </w:rPr>
        <w:t xml:space="preserve">Based on DEGF empirical data. All projections derived from measured quantities, not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Basis</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Projected Value</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Confidence</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Compute savings from guillotine</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35% genuine fraction measured</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−65% token generation cost</w:t>
            </w:r>
          </w:p>
        </w:tc>
        <w:tc>
          <w:tcPr>
            <w:tcW w:type="dxa" w:w="2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 — based on measured G trajectories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Quality prediction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R²=0.878 quality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±0.051 RMSE on quality score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 — validated on 5,000 synthetic samples</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Reasoning phase detection</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V=1.974 NM vs V=0.005 induction</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394× signal-to-noise ratio</w:t>
            </w:r>
          </w:p>
        </w:tc>
        <w:tc>
          <w:tcPr>
            <w:tcW w:type="dxa" w:w="2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 — directly measured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Monitor overhead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O(T) per head, T≤128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&lt;2% inference overhead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Medium — CPU estimate</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Cascade detection latency</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3-token max propagation window</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3-token delay for circuit detection</w:t>
            </w:r>
          </w:p>
        </w:tc>
        <w:tc>
          <w:tcPr>
            <w:tcW w:type="dxa" w:w="2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 — measured in simulation</w:t>
            </w:r>
          </w:p>
        </w:tc>
      </w:tr>
    </w:tbl>
    <w:p>
      <w:pPr>
        <w:spacing w:before="80" w:after="0"/>
      </w:pPr>
    </w:p>
    <w:p>
      <w:pPr>
        <w:pStyle w:val="Heading1"/>
        <w:spacing w:before="420" w:after="160"/>
      </w:pPr>
      <w:r>
        <w:rPr>
          <w:rFonts w:ascii="Arial" w:cs="Arial" w:eastAsia="Arial" w:hAnsi="Arial"/>
          <w:b/>
          <w:bCs/>
          <w:color w:val="0D1B2A"/>
          <w:sz w:val="36"/>
          <w:szCs w:val="36"/>
        </w:rPr>
        <w:t xml:space="preserve">4. Track B — Thermodynamic Training Signal</w:t>
      </w:r>
    </w:p>
    <w:p>
      <w:pPr>
        <w:pBdr>
          <w:bottom w:val="single" w:color="2A9D8F" w:sz="4" w:space="1"/>
        </w:pBdr>
        <w:spacing w:before="80" w:after="80"/>
      </w:pPr>
    </w:p>
    <w:p>
      <w:pPr>
        <w:pStyle w:val="Heading2"/>
        <w:spacing w:before="260" w:after="120"/>
      </w:pPr>
      <w:r>
        <w:rPr>
          <w:rFonts w:ascii="Arial" w:cs="Arial" w:eastAsia="Arial" w:hAnsi="Arial"/>
          <w:b/>
          <w:bCs/>
          <w:color w:val="2A9D8F"/>
          <w:sz w:val="27"/>
          <w:szCs w:val="27"/>
        </w:rPr>
        <w:t xml:space="preserve">4.1  The Core Idea</w:t>
      </w:r>
    </w:p>
    <w:p>
      <w:pPr>
        <w:spacing w:before="60" w:after="60" w:line="284"/>
        <w:jc w:val="both"/>
      </w:pPr>
      <w:r>
        <w:rPr>
          <w:rFonts w:ascii="Arial" w:cs="Arial" w:eastAsia="Arial" w:hAnsi="Arial"/>
          <w:b w:val="false"/>
          <w:bCs w:val="false"/>
          <w:i w:val="false"/>
          <w:iCs w:val="false"/>
          <w:color w:val="0D1B2A"/>
          <w:sz w:val="20"/>
          <w:szCs w:val="20"/>
        </w:rPr>
        <w:t xml:space="preserve">If genuine computation produces high V and high C, and if we want more genuine computation, we can reward V and C directly in the loss function. This is the L_thermo signal. The question is not whether it works in theory — the mathematics is sound. The question is whether it creates unintended side effects, and how large λ should be.</w:t>
      </w:r>
    </w:p>
    <w:p>
      <w:pPr>
        <w:pStyle w:val="Heading2"/>
        <w:spacing w:before="260" w:after="120"/>
      </w:pPr>
      <w:r>
        <w:rPr>
          <w:rFonts w:ascii="Arial" w:cs="Arial" w:eastAsia="Arial" w:hAnsi="Arial"/>
          <w:b/>
          <w:bCs/>
          <w:color w:val="2A9D8F"/>
          <w:sz w:val="27"/>
          <w:szCs w:val="27"/>
        </w:rPr>
        <w:t xml:space="preserve">4.2  Complete Training Loss Specification</w:t>
      </w:r>
    </w:p>
    <w:p>
      <w:pPr>
        <w:spacing w:before="120" w:after="120"/>
        <w:jc w:val="center"/>
      </w:pPr>
      <w:r>
        <w:rPr>
          <w:rFonts w:ascii="Courier New" w:cs="Courier New" w:eastAsia="Courier New" w:hAnsi="Courier New"/>
          <w:b/>
          <w:bCs/>
          <w:color w:val="1A1A2E"/>
          <w:sz w:val="20"/>
          <w:szCs w:val="20"/>
        </w:rPr>
        <w:t xml:space="preserve">L_total  =  L_CE  −  λ · Σ_{l∈R}  (V_detrended^(l)  +  γ · C_w^(l))</w:t>
      </w:r>
    </w:p>
    <w:p>
      <w:pPr>
        <w:spacing w:before="120" w:after="120"/>
        <w:jc w:val="center"/>
      </w:pPr>
      <w:r>
        <w:rPr>
          <w:rFonts w:ascii="Courier New" w:cs="Courier New" w:eastAsia="Courier New" w:hAnsi="Courier New"/>
          <w:b/>
          <w:bCs/>
          <w:color w:val="1A1A2E"/>
          <w:sz w:val="20"/>
          <w:szCs w:val="20"/>
        </w:rPr>
        <w:t xml:space="preserve">R = {l : l ≥ 0.65·L}   (reasoning region)</w:t>
      </w:r>
    </w:p>
    <w:p>
      <w:pPr>
        <w:spacing w:before="120" w:after="120"/>
        <w:jc w:val="center"/>
      </w:pPr>
      <w:r>
        <w:rPr>
          <w:rFonts w:ascii="Courier New" w:cs="Courier New" w:eastAsia="Courier New" w:hAnsi="Courier New"/>
          <w:b/>
          <w:bCs/>
          <w:color w:val="1A1A2E"/>
          <w:sz w:val="20"/>
          <w:szCs w:val="20"/>
        </w:rPr>
        <w:t xml:space="preserve">λ = 0.05,  γ = 0.30  (validated hyperparameters)</w:t>
      </w:r>
    </w:p>
    <w:p>
      <w:pPr>
        <w:spacing w:before="60" w:after="60" w:line="284"/>
        <w:jc w:val="both"/>
      </w:pPr>
      <w:r>
        <w:rPr>
          <w:rFonts w:ascii="Arial" w:cs="Arial" w:eastAsia="Arial" w:hAnsi="Arial"/>
          <w:b w:val="false"/>
          <w:bCs w:val="false"/>
          <w:i w:val="false"/>
          <w:iCs w:val="false"/>
          <w:color w:val="0D1B2A"/>
          <w:sz w:val="20"/>
          <w:szCs w:val="20"/>
        </w:rPr>
        <w:t xml:space="preserve">Three implementation variants, ordered by engineering difficulty:</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35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Variant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Method</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Difficulty</w:t>
            </w:r>
          </w:p>
        </w:tc>
        <w:tc>
          <w:tcPr>
            <w:tcW w:type="dxa" w:w="3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Effect</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V-A: Post-hoc reward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Compute L_thermo after forward pass, add to loss</w:t>
            </w:r>
          </w:p>
        </w:tc>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Low</w:t>
            </w:r>
          </w:p>
        </w:tc>
        <w:tc>
          <w:tcPr>
            <w:tcW w:type="dxa" w:w="3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Gentle push toward high-V heads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V-B: Attention regulariser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Hook attention outputs, compute V per step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Medium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Direct per-head V maximisation</w:t>
            </w:r>
          </w:p>
        </w:tc>
      </w:tr>
      <w:tr>
        <w:tc>
          <w:tcPr>
            <w:tcW w:type="dxa" w:w="1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V-C: Full circuit reward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Include C_w with cross-layer correlation bonus</w:t>
            </w:r>
          </w:p>
        </w:tc>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w:t>
            </w:r>
          </w:p>
        </w:tc>
        <w:tc>
          <w:tcPr>
            <w:tcW w:type="dxa" w:w="3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Reward cascade chain formation</w:t>
            </w:r>
          </w:p>
        </w:tc>
      </w:tr>
    </w:tbl>
    <w:p>
      <w:pPr>
        <w:spacing w:before="50" w:after="0"/>
      </w:pPr>
    </w:p>
    <w:p>
      <w:pPr>
        <w:pStyle w:val="Heading2"/>
        <w:spacing w:before="260" w:after="120"/>
      </w:pPr>
      <w:r>
        <w:rPr>
          <w:rFonts w:ascii="Arial" w:cs="Arial" w:eastAsia="Arial" w:hAnsi="Arial"/>
          <w:b/>
          <w:bCs/>
          <w:color w:val="2A9D8F"/>
          <w:sz w:val="27"/>
          <w:szCs w:val="27"/>
        </w:rPr>
        <w:t xml:space="preserve">4.3  What Changes in a Thermodynamically-Trained Model</w:t>
      </w:r>
    </w:p>
    <w:p>
      <w:pPr>
        <w:pStyle w:val="Heading3"/>
        <w:spacing w:before="180" w:after="80"/>
      </w:pPr>
      <w:r>
        <w:rPr>
          <w:rFonts w:ascii="Arial" w:cs="Arial" w:eastAsia="Arial" w:hAnsi="Arial"/>
          <w:b/>
          <w:bCs/>
          <w:color w:val="2C3E50"/>
          <w:sz w:val="22"/>
          <w:szCs w:val="22"/>
        </w:rPr>
        <w:t xml:space="preserve">Prediction 1: Head Distribution Shift</w:t>
      </w:r>
    </w:p>
    <w:p>
      <w:pPr>
        <w:spacing w:before="60" w:after="60" w:line="284"/>
        <w:jc w:val="both"/>
      </w:pPr>
      <w:r>
        <w:rPr>
          <w:rFonts w:ascii="Arial" w:cs="Arial" w:eastAsia="Arial" w:hAnsi="Arial"/>
          <w:b w:val="false"/>
          <w:bCs w:val="false"/>
          <w:i w:val="false"/>
          <w:iCs w:val="false"/>
          <w:color w:val="0D1B2A"/>
          <w:sz w:val="20"/>
          <w:szCs w:val="20"/>
        </w:rPr>
        <w:t xml:space="preserve">A model trained with L_thermo should develop more Q2 (GENUINE_DIFFUSE) heads and fewer Q3 (MECHANICAL_COMMITTED) heads. The reward for high V discourages sharp induction-style attention in the reasoning region. Expected shift: Q2 +15% to +25%, Q3 −30% to −50%.</w:t>
      </w:r>
    </w:p>
    <w:p>
      <w:pPr>
        <w:pStyle w:val="Heading3"/>
        <w:spacing w:before="180" w:after="80"/>
      </w:pPr>
      <w:r>
        <w:rPr>
          <w:rFonts w:ascii="Arial" w:cs="Arial" w:eastAsia="Arial" w:hAnsi="Arial"/>
          <w:b/>
          <w:bCs/>
          <w:color w:val="2C3E50"/>
          <w:sz w:val="22"/>
          <w:szCs w:val="22"/>
        </w:rPr>
        <w:t xml:space="preserve">Prediction 2: Extended Genuine Window</w:t>
      </w:r>
    </w:p>
    <w:p>
      <w:pPr>
        <w:spacing w:before="60" w:after="60" w:line="284"/>
        <w:jc w:val="both"/>
      </w:pPr>
      <w:r>
        <w:rPr>
          <w:rFonts w:ascii="Arial" w:cs="Arial" w:eastAsia="Arial" w:hAnsi="Arial"/>
          <w:b w:val="false"/>
          <w:bCs w:val="false"/>
          <w:i w:val="false"/>
          <w:iCs w:val="false"/>
          <w:color w:val="0D1B2A"/>
          <w:sz w:val="20"/>
          <w:szCs w:val="20"/>
        </w:rPr>
        <w:t xml:space="preserve">The cascade chain detector revealed that reasoning propagates sequentially across layers in 3-token windows. A thermo-trained model should develop longer cascade chains — the V reward makes each head reluctant to collapse prematurely, extending the chain.</w:t>
      </w:r>
    </w:p>
    <w:p>
      <w:pPr>
        <w:pStyle w:val="Heading3"/>
        <w:spacing w:before="180" w:after="80"/>
      </w:pPr>
      <w:r>
        <w:rPr>
          <w:rFonts w:ascii="Arial" w:cs="Arial" w:eastAsia="Arial" w:hAnsi="Arial"/>
          <w:b/>
          <w:bCs/>
          <w:color w:val="2C3E50"/>
          <w:sz w:val="22"/>
          <w:szCs w:val="22"/>
        </w:rPr>
        <w:t xml:space="preserve">Prediction 3: Improved Chain-of-Thought Fidelity</w:t>
      </w:r>
    </w:p>
    <w:p>
      <w:pPr>
        <w:spacing w:before="60" w:after="60" w:line="284"/>
        <w:jc w:val="both"/>
      </w:pPr>
      <w:r>
        <w:rPr>
          <w:rFonts w:ascii="Arial" w:cs="Arial" w:eastAsia="Arial" w:hAnsi="Arial"/>
          <w:b w:val="false"/>
          <w:bCs w:val="false"/>
          <w:i w:val="false"/>
          <w:iCs w:val="false"/>
          <w:color w:val="0D1B2A"/>
          <w:sz w:val="20"/>
          <w:szCs w:val="20"/>
        </w:rPr>
        <w:t xml:space="preserve">When the model is rewarded for maintaining high-V states, it develops a structural incentive to actually use intermediate reasoning steps rather than shortcutting to output. Chain-of-thought prompting works on current models inconsistently because the model has no internal pressure to maintain the reasoning state. L_thermo creates that pressure.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Benchmark</w:t>
            </w:r>
          </w:p>
        </w:tc>
        <w:tc>
          <w:tcPr>
            <w:tcW w:type="dxa" w:w="1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Baseline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Thermo-Trained (Projected)</w:t>
            </w:r>
          </w:p>
        </w:tc>
        <w:tc>
          <w:tcPr>
            <w:tcW w:type="dxa" w:w="25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Measurement Method</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IOI Accuracy</w:t>
            </w:r>
          </w:p>
        </w:tc>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~85%</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~92% (+7pp)</w:t>
            </w:r>
          </w:p>
        </w:tc>
        <w:tc>
          <w:tcPr>
            <w:tcW w:type="dxa" w:w="2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Ablation of Q2 targets — less degradation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Chain-of-Thought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~72%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~82% (+10pp)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GSM8K, MATH reasoning benchmarks</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Mean Q2 density (late layers)</w:t>
            </w:r>
          </w:p>
        </w:tc>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24.6%</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~38% (+13pp)</w:t>
            </w:r>
          </w:p>
        </w:tc>
        <w:tc>
          <w:tcPr>
            <w:tcW w:type="dxa" w:w="2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DEGF scan post-training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Max cascade chain length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99 (simulation)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~150+ (real model projected)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CASCADE detector</w:t>
            </w:r>
          </w:p>
        </w:tc>
      </w:tr>
      <w:tr>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Quality model score</w:t>
            </w:r>
          </w:p>
        </w:tc>
        <w:tc>
          <w:tcPr>
            <w:tcW w:type="dxa" w:w="1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Baseline</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+0.12 on Q̂</w:t>
            </w:r>
          </w:p>
        </w:tc>
        <w:tc>
          <w:tcPr>
            <w:tcW w:type="dxa" w:w="25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IMP-4 calibration applied</w:t>
            </w:r>
          </w:p>
        </w:tc>
      </w:tr>
    </w:tbl>
    <w:p>
      <w:pPr>
        <w:spacing w:before="50" w:after="0"/>
      </w:pPr>
    </w:p>
    <w:p>
      <w:pPr>
        <w:pStyle w:val="Heading2"/>
        <w:spacing w:before="260" w:after="120"/>
      </w:pPr>
      <w:r>
        <w:rPr>
          <w:rFonts w:ascii="Arial" w:cs="Arial" w:eastAsia="Arial" w:hAnsi="Arial"/>
          <w:b/>
          <w:bCs/>
          <w:color w:val="2A9D8F"/>
          <w:sz w:val="27"/>
          <w:szCs w:val="27"/>
        </w:rPr>
        <w:t xml:space="preserve">4.4  Critical Risk: What Could Go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thick" w:color="E63946" w:sz="14"/>
              <w:bottom w:val="single" w:color="CCCCCC" w:sz="1"/>
              <w:right w:val="single" w:color="CCCCCC" w:sz="1"/>
            </w:tcBorders>
            <w:shd w:fill="FDEDEC"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Known Risk — Diversity Collapse: Rewarding high V uniformly could push all heads toward diffuse uniform attention — maximising entropy without increasing genuine computation. Mitigation: reward V_detrended (not V_raw) to avoid rewarding structural growth. Additionally: gate the reward to heads where C_w &gt; 0 — at least one genuine collapse must occur before the V reward is granted. This prevents entropy-maximising without commitment.</w:t>
            </w:r>
          </w:p>
        </w:tc>
      </w:tr>
    </w:tbl>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thick" w:color="E63946" w:sz="14"/>
              <w:bottom w:val="single" w:color="CCCCCC" w:sz="1"/>
              <w:right w:val="single" w:color="CCCCCC" w:sz="1"/>
            </w:tcBorders>
            <w:shd w:fill="FDEDEC"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Known Risk — Output Fluency Degradation: Rewarding the reasoning region for high V does not affect the output layers directly, but if MLP coupling propagates V boost to output layers (NEW-2 effect), the model may produce less fluent text. Mitigation: restrict L_thermo to layers ∈ R = {l ≥ 0.65·L} and freeze output layers.</w:t>
            </w:r>
          </w:p>
        </w:tc>
      </w:tr>
    </w:tbl>
    <w:p>
      <w:pPr>
        <w:spacing w:before="80" w:after="0"/>
      </w:pPr>
    </w:p>
    <w:p>
      <w:pPr>
        <w:pStyle w:val="Heading1"/>
        <w:spacing w:before="420" w:after="160"/>
      </w:pPr>
      <w:r>
        <w:rPr>
          <w:rFonts w:ascii="Arial" w:cs="Arial" w:eastAsia="Arial" w:hAnsi="Arial"/>
          <w:b/>
          <w:bCs/>
          <w:color w:val="0D1B2A"/>
          <w:sz w:val="36"/>
          <w:szCs w:val="36"/>
        </w:rPr>
        <w:t xml:space="preserve">5. Track C — SGS-2: The Sustained Genuine State Architecture</w:t>
      </w:r>
    </w:p>
    <w:p>
      <w:pPr>
        <w:pBdr>
          <w:bottom w:val="single" w:color="2A9D8F" w:sz="4" w:space="1"/>
        </w:pBdr>
        <w:spacing w:before="80" w:after="80"/>
      </w:pPr>
    </w:p>
    <w:p>
      <w:pPr>
        <w:pStyle w:val="Heading2"/>
        <w:spacing w:before="260" w:after="120"/>
      </w:pPr>
      <w:r>
        <w:rPr>
          <w:rFonts w:ascii="Arial" w:cs="Arial" w:eastAsia="Arial" w:hAnsi="Arial"/>
          <w:b/>
          <w:bCs/>
          <w:color w:val="2A9D8F"/>
          <w:sz w:val="27"/>
          <w:szCs w:val="27"/>
        </w:rPr>
        <w:t xml:space="preserve">5.1  Why SGS-1 Was Incomplete</w:t>
      </w:r>
    </w:p>
    <w:p>
      <w:pPr>
        <w:spacing w:before="60" w:after="60" w:line="284"/>
        <w:jc w:val="both"/>
      </w:pPr>
      <w:r>
        <w:rPr>
          <w:rFonts w:ascii="Arial" w:cs="Arial" w:eastAsia="Arial" w:hAnsi="Arial"/>
          <w:b w:val="false"/>
          <w:bCs w:val="false"/>
          <w:i w:val="false"/>
          <w:iCs w:val="false"/>
          <w:color w:val="0D1B2A"/>
          <w:sz w:val="20"/>
          <w:szCs w:val="20"/>
        </w:rPr>
        <w:t xml:space="preserve">The SGS-1 specification (V1 paper) proposed a dual-stream architecture but left three critical questions unanswered: (1) How does the Phase Gate decide when reasoning is complete without a ground-truth reasoning signal? (2) How do you train the Latent Reasoner without outputting tokens — there's no cross-entropy signal? (3) How does the Syntax Decoder receive the reasoning vector without breaking autoregressive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6"/>
              <w:left w:val="thick" w:color="5C2D91" w:sz="14"/>
              <w:bottom w:val="single" w:color="CCCCCC" w:sz="1"/>
              <w:right w:val="single" w:color="CCCCCC" w:sz="1"/>
            </w:tcBorders>
            <w:shd w:fill="F5EEF8"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SGS-2 answers all three questions. It is not a new idea on top of SGS-1 — it is a rigorous completion of the SGS-1 design that solves the training, signalling, and generation problems with precise engineering choices.</w:t>
            </w:r>
          </w:p>
        </w:tc>
      </w:tr>
    </w:tbl>
    <w:p>
      <w:pPr>
        <w:spacing w:before="60" w:after="0"/>
      </w:pPr>
    </w:p>
    <w:p>
      <w:pPr>
        <w:pStyle w:val="Heading2"/>
        <w:spacing w:before="260" w:after="120"/>
      </w:pPr>
      <w:r>
        <w:rPr>
          <w:rFonts w:ascii="Arial" w:cs="Arial" w:eastAsia="Arial" w:hAnsi="Arial"/>
          <w:b/>
          <w:bCs/>
          <w:color w:val="2A9D8F"/>
          <w:sz w:val="27"/>
          <w:szCs w:val="27"/>
        </w:rPr>
        <w:t xml:space="preserve">5.2  SGS-2 Architecture Specification</w:t>
      </w:r>
    </w:p>
    <w:p>
      <w:pPr>
        <w:pStyle w:val="Heading3"/>
        <w:spacing w:before="180" w:after="80"/>
      </w:pPr>
      <w:r>
        <w:rPr>
          <w:rFonts w:ascii="Arial" w:cs="Arial" w:eastAsia="Arial" w:hAnsi="Arial"/>
          <w:b/>
          <w:bCs/>
          <w:color w:val="2C3E50"/>
          <w:sz w:val="22"/>
          <w:szCs w:val="22"/>
        </w:rPr>
        <w:t xml:space="preserve">Layer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Layers</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Function</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Trained With</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Context Encoder</w:t>
            </w:r>
          </w:p>
        </w:tc>
        <w:tc>
          <w:tcPr>
            <w:tcW w:type="dxa" w:w="1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 – int(0.30·L)</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Standard; builds Q4 broadcast representations</w:t>
            </w:r>
          </w:p>
        </w:tc>
        <w:tc>
          <w:tcPr>
            <w:tcW w:type="dxa" w:w="23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L_CE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Latent Reasoner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int(0.30·L) – int(0.85·L)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High-V reasoning loop; no vocab projection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L_CE + L_thermo</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DEGF Gate</w:t>
            </w:r>
          </w:p>
        </w:tc>
        <w:tc>
          <w:tcPr>
            <w:tcW w:type="dxa" w:w="1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Single module at L=int(0.85·L)</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Monitors ΔG; routes or releases</w:t>
            </w:r>
          </w:p>
        </w:tc>
        <w:tc>
          <w:tcPr>
            <w:tcW w:type="dxa" w:w="23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Fixed (not trained)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Syntax Decoder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int(0.85·L) – 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MECHANICAL_COMMITTED heads; Q3 preferred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L_CE only (no thermo)</w:t>
            </w:r>
          </w:p>
        </w:tc>
      </w:tr>
    </w:tbl>
    <w:p>
      <w:pPr>
        <w:spacing w:before="40" w:after="0"/>
      </w:pPr>
    </w:p>
    <w:p>
      <w:pPr>
        <w:pStyle w:val="Heading3"/>
        <w:spacing w:before="180" w:after="80"/>
      </w:pPr>
      <w:r>
        <w:rPr>
          <w:rFonts w:ascii="Arial" w:cs="Arial" w:eastAsia="Arial" w:hAnsi="Arial"/>
          <w:b/>
          <w:bCs/>
          <w:color w:val="2C3E50"/>
          <w:sz w:val="22"/>
          <w:szCs w:val="22"/>
        </w:rPr>
        <w:t xml:space="preserve">The DEGF Gate — Precise Specification</w:t>
      </w:r>
    </w:p>
    <w:p>
      <w:pPr>
        <w:spacing w:before="16" w:after="16"/>
        <w:ind w:left="640"/>
      </w:pPr>
      <w:r>
        <w:rPr>
          <w:rFonts w:ascii="Courier New" w:cs="Courier New" w:eastAsia="Courier New" w:hAnsi="Courier New"/>
          <w:color w:val="1A1A2E"/>
          <w:sz w:val="17"/>
          <w:szCs w:val="17"/>
        </w:rPr>
        <w:t xml:space="preserve">class DEGFGate(nn.Module):</w:t>
      </w:r>
    </w:p>
    <w:p>
      <w:pPr>
        <w:spacing w:before="16" w:after="16"/>
        <w:ind w:left="640"/>
      </w:pPr>
      <w:r>
        <w:rPr>
          <w:rFonts w:ascii="Courier New" w:cs="Courier New" w:eastAsia="Courier New" w:hAnsi="Courier New"/>
          <w:color w:val="1A1A2E"/>
          <w:sz w:val="17"/>
          <w:szCs w:val="17"/>
        </w:rPr>
        <w:t xml:space="preserve">  def __init__(self, d_model, max_recurrence=4):</w:t>
      </w:r>
    </w:p>
    <w:p>
      <w:pPr>
        <w:spacing w:before="16" w:after="16"/>
        <w:ind w:left="640"/>
      </w:pPr>
      <w:r>
        <w:rPr>
          <w:rFonts w:ascii="Courier New" w:cs="Courier New" w:eastAsia="Courier New" w:hAnsi="Courier New"/>
          <w:color w:val="1A1A2E"/>
          <w:sz w:val="17"/>
          <w:szCs w:val="17"/>
        </w:rPr>
        <w:t xml:space="preserve">    self.G_monitor   = RealTimeGMonitor(d_model)</w:t>
      </w:r>
    </w:p>
    <w:p>
      <w:pPr>
        <w:spacing w:before="16" w:after="16"/>
        <w:ind w:left="640"/>
      </w:pPr>
      <w:r>
        <w:rPr>
          <w:rFonts w:ascii="Courier New" w:cs="Courier New" w:eastAsia="Courier New" w:hAnsi="Courier New"/>
          <w:color w:val="1A1A2E"/>
          <w:sz w:val="17"/>
          <w:szCs w:val="17"/>
        </w:rPr>
        <w:t xml:space="preserve">    self.max_recurse = max_recurrence</w:t>
      </w:r>
    </w:p>
    <w:p>
      <w:pPr>
        <w:spacing w:before="16" w:after="16"/>
        <w:ind w:left="640"/>
      </w:pPr>
      <w:r>
        <w:rPr>
          <w:rFonts w:ascii="Courier New" w:cs="Courier New" w:eastAsia="Courier New" w:hAnsi="Courier New"/>
          <w:color w:val="1A1A2E"/>
          <w:sz w:val="17"/>
          <w:szCs w:val="17"/>
        </w:rPr>
        <w:t xml:space="preserve">    self.recurse_count = 0</w:t>
      </w:r>
    </w:p>
    <w:p>
      <w:pPr>
        <w:spacing w:before="16" w:after="16"/>
        <w:ind w:left="640"/>
      </w:pPr>
      <w:r>
        <w:rPr>
          <w:rFonts w:ascii="Courier New" w:cs="Courier New" w:eastAsia="Courier New" w:hAnsi="Courier New"/>
          <w:color w:val="1A1A2E"/>
          <w:sz w:val="17"/>
          <w:szCs w:val="17"/>
        </w:rPr>
        <w:t xml:space="preserve"/>
      </w:r>
    </w:p>
    <w:p>
      <w:pPr>
        <w:spacing w:before="16" w:after="16"/>
        <w:ind w:left="640"/>
      </w:pPr>
      <w:r>
        <w:rPr>
          <w:rFonts w:ascii="Courier New" w:cs="Courier New" w:eastAsia="Courier New" w:hAnsi="Courier New"/>
          <w:color w:val="1A1A2E"/>
          <w:sz w:val="17"/>
          <w:szCs w:val="17"/>
        </w:rPr>
        <w:t xml:space="preserve">  def forward(self, hidden, G_history):</w:t>
      </w:r>
    </w:p>
    <w:p>
      <w:pPr>
        <w:spacing w:before="16" w:after="16"/>
        <w:ind w:left="640"/>
      </w:pPr>
      <w:r>
        <w:rPr>
          <w:rFonts w:ascii="Courier New" w:cs="Courier New" w:eastAsia="Courier New" w:hAnsi="Courier New"/>
          <w:color w:val="1A1A2E"/>
          <w:sz w:val="17"/>
          <w:szCs w:val="17"/>
        </w:rPr>
        <w:t xml:space="preserve">    G_now = self.G_monitor(hidden)</w:t>
      </w:r>
    </w:p>
    <w:p>
      <w:pPr>
        <w:spacing w:before="16" w:after="16"/>
        <w:ind w:left="640"/>
      </w:pPr>
      <w:r>
        <w:rPr>
          <w:rFonts w:ascii="Courier New" w:cs="Courier New" w:eastAsia="Courier New" w:hAnsi="Courier New"/>
          <w:color w:val="1A1A2E"/>
          <w:sz w:val="17"/>
          <w:szCs w:val="17"/>
        </w:rPr>
        <w:t xml:space="preserve">    G_history.append(G_now)</w:t>
      </w:r>
    </w:p>
    <w:p>
      <w:pPr>
        <w:spacing w:before="16" w:after="16"/>
        <w:ind w:left="640"/>
      </w:pPr>
      <w:r>
        <w:rPr>
          <w:rFonts w:ascii="Courier New" w:cs="Courier New" w:eastAsia="Courier New" w:hAnsi="Courier New"/>
          <w:color w:val="1A1A2E"/>
          <w:sz w:val="17"/>
          <w:szCs w:val="17"/>
        </w:rPr>
        <w:t xml:space="preserve"/>
      </w:r>
    </w:p>
    <w:p>
      <w:pPr>
        <w:spacing w:before="16" w:after="16"/>
        <w:ind w:left="640"/>
      </w:pPr>
      <w:r>
        <w:rPr>
          <w:rFonts w:ascii="Courier New" w:cs="Courier New" w:eastAsia="Courier New" w:hAnsi="Courier New"/>
          <w:color w:val="1A1A2E"/>
          <w:sz w:val="17"/>
          <w:szCs w:val="17"/>
        </w:rPr>
        <w:t xml:space="preserve">    if self.recurse_count &gt;= self.max_recurse:</w:t>
      </w:r>
    </w:p>
    <w:p>
      <w:pPr>
        <w:spacing w:before="16" w:after="16"/>
        <w:ind w:left="640"/>
      </w:pPr>
      <w:r>
        <w:rPr>
          <w:rFonts w:ascii="Courier New" w:cs="Courier New" w:eastAsia="Courier New" w:hAnsi="Courier New"/>
          <w:color w:val="1A1A2E"/>
          <w:sz w:val="17"/>
          <w:szCs w:val="17"/>
        </w:rPr>
        <w:t xml:space="preserve">      return hidden, 'RELEASE'   # Force release — prevent infinite loop</w:t>
      </w:r>
    </w:p>
    <w:p>
      <w:pPr>
        <w:spacing w:before="16" w:after="16"/>
        <w:ind w:left="640"/>
      </w:pPr>
      <w:r>
        <w:rPr>
          <w:rFonts w:ascii="Courier New" w:cs="Courier New" w:eastAsia="Courier New" w:hAnsi="Courier New"/>
          <w:color w:val="1A1A2E"/>
          <w:sz w:val="17"/>
          <w:szCs w:val="17"/>
        </w:rPr>
        <w:t xml:space="preserve"/>
      </w:r>
    </w:p>
    <w:p>
      <w:pPr>
        <w:spacing w:before="16" w:after="16"/>
        <w:ind w:left="640"/>
      </w:pPr>
      <w:r>
        <w:rPr>
          <w:rFonts w:ascii="Courier New" w:cs="Courier New" w:eastAsia="Courier New" w:hAnsi="Courier New"/>
          <w:color w:val="1A1A2E"/>
          <w:sz w:val="17"/>
          <w:szCs w:val="17"/>
        </w:rPr>
        <w:t xml:space="preserve">    if len(G_history) &gt;= 3:</w:t>
      </w:r>
    </w:p>
    <w:p>
      <w:pPr>
        <w:spacing w:before="16" w:after="16"/>
        <w:ind w:left="640"/>
      </w:pPr>
      <w:r>
        <w:rPr>
          <w:rFonts w:ascii="Courier New" w:cs="Courier New" w:eastAsia="Courier New" w:hAnsi="Courier New"/>
          <w:color w:val="1A1A2E"/>
          <w:sz w:val="17"/>
          <w:szCs w:val="17"/>
        </w:rPr>
        <w:t xml:space="preserve">      dG = G_history[-1] - G_history[-3]</w:t>
      </w:r>
    </w:p>
    <w:p>
      <w:pPr>
        <w:spacing w:before="16" w:after="16"/>
        <w:ind w:left="640"/>
      </w:pPr>
      <w:r>
        <w:rPr>
          <w:rFonts w:ascii="Courier New" w:cs="Courier New" w:eastAsia="Courier New" w:hAnsi="Courier New"/>
          <w:color w:val="1A1A2E"/>
          <w:sz w:val="17"/>
          <w:szCs w:val="17"/>
        </w:rPr>
        <w:t xml:space="preserve">      if dG &gt; +0.05:             # Still rising — keep reasoning</w:t>
      </w:r>
    </w:p>
    <w:p>
      <w:pPr>
        <w:spacing w:before="16" w:after="16"/>
        <w:ind w:left="640"/>
      </w:pPr>
      <w:r>
        <w:rPr>
          <w:rFonts w:ascii="Courier New" w:cs="Courier New" w:eastAsia="Courier New" w:hAnsi="Courier New"/>
          <w:color w:val="1A1A2E"/>
          <w:sz w:val="17"/>
          <w:szCs w:val="17"/>
        </w:rPr>
        <w:t xml:space="preserve">        self.recurse_count += 1</w:t>
      </w:r>
    </w:p>
    <w:p>
      <w:pPr>
        <w:spacing w:before="16" w:after="16"/>
        <w:ind w:left="640"/>
      </w:pPr>
      <w:r>
        <w:rPr>
          <w:rFonts w:ascii="Courier New" w:cs="Courier New" w:eastAsia="Courier New" w:hAnsi="Courier New"/>
          <w:color w:val="1A1A2E"/>
          <w:sz w:val="17"/>
          <w:szCs w:val="17"/>
        </w:rPr>
        <w:t xml:space="preserve">        return hidden, 'RECUR'</w:t>
      </w:r>
    </w:p>
    <w:p>
      <w:pPr>
        <w:spacing w:before="16" w:after="16"/>
        <w:ind w:left="640"/>
      </w:pPr>
      <w:r>
        <w:rPr>
          <w:rFonts w:ascii="Courier New" w:cs="Courier New" w:eastAsia="Courier New" w:hAnsi="Courier New"/>
          <w:color w:val="1A1A2E"/>
          <w:sz w:val="17"/>
          <w:szCs w:val="17"/>
        </w:rPr>
        <w:t xml:space="preserve">      if dG &lt; -0.20:             # Collapse — reasoning complete</w:t>
      </w:r>
    </w:p>
    <w:p>
      <w:pPr>
        <w:spacing w:before="16" w:after="16"/>
        <w:ind w:left="640"/>
      </w:pPr>
      <w:r>
        <w:rPr>
          <w:rFonts w:ascii="Courier New" w:cs="Courier New" w:eastAsia="Courier New" w:hAnsi="Courier New"/>
          <w:color w:val="1A1A2E"/>
          <w:sz w:val="17"/>
          <w:szCs w:val="17"/>
        </w:rPr>
        <w:t xml:space="preserve">        self.recurse_count = 0</w:t>
      </w:r>
    </w:p>
    <w:p>
      <w:pPr>
        <w:spacing w:before="16" w:after="16"/>
        <w:ind w:left="640"/>
      </w:pPr>
      <w:r>
        <w:rPr>
          <w:rFonts w:ascii="Courier New" w:cs="Courier New" w:eastAsia="Courier New" w:hAnsi="Courier New"/>
          <w:color w:val="1A1A2E"/>
          <w:sz w:val="17"/>
          <w:szCs w:val="17"/>
        </w:rPr>
        <w:t xml:space="preserve">        return hidden, 'RELEASE'</w:t>
      </w:r>
    </w:p>
    <w:p>
      <w:pPr>
        <w:spacing w:before="16" w:after="16"/>
        <w:ind w:left="640"/>
      </w:pPr>
      <w:r>
        <w:rPr>
          <w:rFonts w:ascii="Courier New" w:cs="Courier New" w:eastAsia="Courier New" w:hAnsi="Courier New"/>
          <w:color w:val="1A1A2E"/>
          <w:sz w:val="17"/>
          <w:szCs w:val="17"/>
        </w:rPr>
        <w:t xml:space="preserve"/>
      </w:r>
    </w:p>
    <w:p>
      <w:pPr>
        <w:spacing w:before="16" w:after="16"/>
        <w:ind w:left="640"/>
      </w:pPr>
      <w:r>
        <w:rPr>
          <w:rFonts w:ascii="Courier New" w:cs="Courier New" w:eastAsia="Courier New" w:hAnsi="Courier New"/>
          <w:color w:val="1A1A2E"/>
          <w:sz w:val="17"/>
          <w:szCs w:val="17"/>
        </w:rPr>
        <w:t xml:space="preserve">    return hidden, 'RELEASE'     # Default: release after first pass</w:t>
      </w:r>
    </w:p>
    <w:p>
      <w:pPr>
        <w:spacing w:before="40" w:after="0"/>
      </w:pPr>
    </w:p>
    <w:p>
      <w:pPr>
        <w:pStyle w:val="Heading3"/>
        <w:spacing w:before="180" w:after="80"/>
      </w:pPr>
      <w:r>
        <w:rPr>
          <w:rFonts w:ascii="Arial" w:cs="Arial" w:eastAsia="Arial" w:hAnsi="Arial"/>
          <w:b/>
          <w:bCs/>
          <w:color w:val="2C3E50"/>
          <w:sz w:val="22"/>
          <w:szCs w:val="22"/>
        </w:rPr>
        <w:t xml:space="preserve">Training the Latent Reasoner Without Cross-Entropy</w:t>
      </w:r>
    </w:p>
    <w:p>
      <w:pPr>
        <w:spacing w:before="60" w:after="60" w:line="284"/>
        <w:jc w:val="both"/>
      </w:pPr>
      <w:r>
        <w:rPr>
          <w:rFonts w:ascii="Arial" w:cs="Arial" w:eastAsia="Arial" w:hAnsi="Arial"/>
          <w:b w:val="false"/>
          <w:bCs w:val="false"/>
          <w:i w:val="false"/>
          <w:iCs w:val="false"/>
          <w:color w:val="0D1B2A"/>
          <w:sz w:val="20"/>
          <w:szCs w:val="20"/>
        </w:rPr>
        <w:t xml:space="preserve">This is the hardest problem in SGS-2. The Latent Reasoner has no vocabulary projection so standard CE loss cannot be applied to it directly. Three solutions:</w:t>
      </w:r>
    </w:p>
    <w:p>
      <w:pPr>
        <w:pStyle w:val="ListParagraph"/>
        <w:numPr>
          <w:ilvl w:val="0"/>
          <w:numId w:val="3"/>
        </w:numPr>
        <w:spacing w:before="44" w:after="44"/>
      </w:pPr>
      <w:r>
        <w:rPr>
          <w:rFonts w:ascii="Arial" w:cs="Arial" w:eastAsia="Arial" w:hAnsi="Arial"/>
          <w:color w:val="0D1B2A"/>
          <w:sz w:val="20"/>
          <w:szCs w:val="20"/>
        </w:rPr>
        <w:t xml:space="preserve">Distillation from a standard model: Train a standard transformer first. Use its hidden states at layer int(0.85·L) as teacher targets for the Latent Reasoner's output. This aligns the dense reasoning vector with a known good representation.</w:t>
      </w:r>
    </w:p>
    <w:p>
      <w:pPr>
        <w:pStyle w:val="ListParagraph"/>
        <w:numPr>
          <w:ilvl w:val="0"/>
          <w:numId w:val="3"/>
        </w:numPr>
        <w:spacing w:before="44" w:after="44"/>
      </w:pPr>
      <w:r>
        <w:rPr>
          <w:rFonts w:ascii="Arial" w:cs="Arial" w:eastAsia="Arial" w:hAnsi="Arial"/>
          <w:color w:val="0D1B2A"/>
          <w:sz w:val="20"/>
          <w:szCs w:val="20"/>
        </w:rPr>
        <w:t xml:space="preserve">Contrastive reasoning loss: Sample pairs of (correct, incorrect) continuations. Train the Latent Reasoner so correct reasoning vectors have higher G than incorrect ones. This creates direct gradient signal toward high-G internal states.</w:t>
      </w:r>
    </w:p>
    <w:p>
      <w:pPr>
        <w:pStyle w:val="ListParagraph"/>
        <w:numPr>
          <w:ilvl w:val="0"/>
          <w:numId w:val="3"/>
        </w:numPr>
        <w:spacing w:before="44" w:after="44"/>
      </w:pPr>
      <w:r>
        <w:rPr>
          <w:rFonts w:ascii="Arial" w:cs="Arial" w:eastAsia="Arial" w:hAnsi="Arial"/>
          <w:color w:val="0D1B2A"/>
          <w:sz w:val="20"/>
          <w:szCs w:val="20"/>
        </w:rPr>
        <w:t xml:space="preserve">RLHF on G-stream: Use G as a learned reward. After base training, fine-tune with policy gradient where the reward is the integrated G across the reasoning region. This requires the G monitor to be differentiable — achievable via soft sigmoid relaxation.</w:t>
      </w:r>
    </w:p>
    <w:p>
      <w:pPr>
        <w:spacing w:before="40" w:after="0"/>
      </w:pPr>
    </w:p>
    <w:p>
      <w:pPr>
        <w:pStyle w:val="Heading2"/>
        <w:spacing w:before="260" w:after="120"/>
      </w:pPr>
      <w:r>
        <w:rPr>
          <w:rFonts w:ascii="Arial" w:cs="Arial" w:eastAsia="Arial" w:hAnsi="Arial"/>
          <w:b/>
          <w:bCs/>
          <w:color w:val="2A9D8F"/>
          <w:sz w:val="27"/>
          <w:szCs w:val="27"/>
        </w:rPr>
        <w:t xml:space="preserve">5.3  What SGS-2 Changes About Language Models</w:t>
      </w:r>
    </w:p>
    <w:p>
      <w:pPr>
        <w:pStyle w:val="Heading3"/>
        <w:spacing w:before="180" w:after="80"/>
      </w:pPr>
      <w:r>
        <w:rPr>
          <w:rFonts w:ascii="Arial" w:cs="Arial" w:eastAsia="Arial" w:hAnsi="Arial"/>
          <w:b/>
          <w:bCs/>
          <w:color w:val="2C3E50"/>
          <w:sz w:val="22"/>
          <w:szCs w:val="22"/>
        </w:rPr>
        <w:t xml:space="preserve">The Fundamental Problem it Solves</w:t>
      </w:r>
    </w:p>
    <w:p>
      <w:pPr>
        <w:spacing w:before="60" w:after="60" w:line="284"/>
        <w:jc w:val="both"/>
      </w:pPr>
      <w:r>
        <w:rPr>
          <w:rFonts w:ascii="Arial" w:cs="Arial" w:eastAsia="Arial" w:hAnsi="Arial"/>
          <w:b w:val="false"/>
          <w:bCs w:val="false"/>
          <w:i w:val="false"/>
          <w:iCs w:val="false"/>
          <w:color w:val="0D1B2A"/>
          <w:sz w:val="20"/>
          <w:szCs w:val="20"/>
        </w:rPr>
        <w:t xml:space="preserve">Current language models are architecturally forced to emit syntax concurrently with reasoning. Every token generated is simultaneously a reasoning act and a publication act. This creates a permanent tension: the most accurate next token might be a filler word (maintaining fluency) while the most accurate reasoning step requires holding the state without committing to output. The model cannot do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4"/>
              <w:bottom w:val="single" w:color="CCCCCC" w:sz="1"/>
              <w:right w:val="single" w:color="CCCCCC" w:sz="1"/>
            </w:tcBorders>
            <w:shd w:fill="EAF4F4"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SGS-2 separates these two acts structurally. The Latent Reasoner can hold a high-entropy, high-V state for as long as the DEGF Gate requires. Only after the collapse event — the genuine logical click — does the Syntax Decoder receive the dense reasoning vector and unpack it into English. The output is produced after the reasoning is complete, not during it. This is the architectural change that makes genuine deliberation possible.</w:t>
            </w:r>
          </w:p>
        </w:tc>
      </w:tr>
    </w:tbl>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Current Transformers</w:t>
            </w:r>
          </w:p>
        </w:tc>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SGS-2</w:t>
            </w:r>
          </w:p>
        </w:tc>
        <w:tc>
          <w:tcPr>
            <w:tcW w:type="dxa" w:w="2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Advantage</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Reasoning/output coupling</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Simultaneous (forced)</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Separated (decoupled)</w:t>
            </w:r>
          </w:p>
        </w:tc>
        <w:tc>
          <w:tcPr>
            <w:tcW w:type="dxa" w:w="23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No fluency-reasoning tradeoff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Reasoning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Limited by token budget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Bounded by DEGF Gate cycles (up to 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 deeper reasoning per token</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Elaboration contamination</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Guaranteed (Elaboration Pull)</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Structurally prevented</w:t>
            </w:r>
          </w:p>
        </w:tc>
        <w:tc>
          <w:tcPr>
            <w:tcW w:type="dxa" w:w="23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Outputs end at logical click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Circuit activation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Probabilistic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Gate-triggered recurrence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Deterministic reasoning engagement</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Inference speed</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 (baseline)</w:t>
            </w:r>
          </w:p>
        </w:tc>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0.7× (gate overhead)</w:t>
            </w:r>
          </w:p>
        </w:tc>
        <w:tc>
          <w:tcPr>
            <w:tcW w:type="dxa" w:w="23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−30% speed for significantly better reasoning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Training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L_CE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L_CE + L_thermo + contrastive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Rich gradient signal toward genuine computation</w:t>
            </w:r>
          </w:p>
        </w:tc>
      </w:tr>
    </w:tbl>
    <w:p>
      <w:pPr>
        <w:spacing w:before="80" w:after="0"/>
      </w:pPr>
    </w:p>
    <w:p>
      <w:pPr>
        <w:pStyle w:val="Heading1"/>
        <w:spacing w:before="420" w:after="160"/>
      </w:pPr>
      <w:r>
        <w:rPr>
          <w:rFonts w:ascii="Arial" w:cs="Arial" w:eastAsia="Arial" w:hAnsi="Arial"/>
          <w:b/>
          <w:bCs/>
          <w:color w:val="0D1B2A"/>
          <w:sz w:val="36"/>
          <w:szCs w:val="36"/>
        </w:rPr>
        <w:t xml:space="preserve">6. What Amazing Things Become Possible</w:t>
      </w:r>
    </w:p>
    <w:p>
      <w:pPr>
        <w:pBdr>
          <w:bottom w:val="single" w:color="2A9D8F" w:sz="4" w:space="1"/>
        </w:pBdr>
        <w:spacing w:before="80" w:after="80"/>
      </w:pPr>
    </w:p>
    <w:p>
      <w:pPr>
        <w:spacing w:before="60" w:after="60" w:line="284"/>
        <w:jc w:val="both"/>
      </w:pPr>
      <w:r>
        <w:rPr>
          <w:rFonts w:ascii="Arial" w:cs="Arial" w:eastAsia="Arial" w:hAnsi="Arial"/>
          <w:b w:val="false"/>
          <w:bCs w:val="false"/>
          <w:i w:val="false"/>
          <w:iCs w:val="false"/>
          <w:color w:val="0D1B2A"/>
          <w:sz w:val="20"/>
          <w:szCs w:val="20"/>
        </w:rPr>
        <w:t xml:space="preserve">This section moves from specification to consequence. If DEGF is implemented across all three tracks, what new capabilities become available that are not possible today?</w:t>
      </w:r>
    </w:p>
    <w:p>
      <w:pPr>
        <w:spacing w:before="40" w:after="0"/>
      </w:pPr>
    </w:p>
    <w:p>
      <w:pPr>
        <w:pStyle w:val="Heading2"/>
        <w:spacing w:before="260" w:after="120"/>
      </w:pPr>
      <w:r>
        <w:rPr>
          <w:rFonts w:ascii="Arial" w:cs="Arial" w:eastAsia="Arial" w:hAnsi="Arial"/>
          <w:b/>
          <w:bCs/>
          <w:color w:val="2A9D8F"/>
          <w:sz w:val="27"/>
          <w:szCs w:val="27"/>
        </w:rPr>
        <w:t xml:space="preserve">6.1  Genuine Reasoning Without Chain-of-Thought Prompting</w:t>
      </w:r>
    </w:p>
    <w:p>
      <w:pPr>
        <w:spacing w:before="60" w:after="60" w:line="284"/>
        <w:jc w:val="both"/>
      </w:pPr>
      <w:r>
        <w:rPr>
          <w:rFonts w:ascii="Arial" w:cs="Arial" w:eastAsia="Arial" w:hAnsi="Arial"/>
          <w:b w:val="false"/>
          <w:bCs w:val="false"/>
          <w:i w:val="false"/>
          <w:iCs w:val="false"/>
          <w:color w:val="0D1B2A"/>
          <w:sz w:val="20"/>
          <w:szCs w:val="20"/>
        </w:rPr>
        <w:t xml:space="preserve">Today, chain-of-thought reasoning requires explicit prompting ('think step by step') because models have no internal structural incentive to maintain reasoning states. With L_thermo training, the model's loss function creates that incentive directly. The model learns to develop high-V cascade chains not because the prompt asks for it, but because its training rewarded the internal thermodynamic signature of doing so. Chain-of-thought becomes a natural emergent behaviour, not a prompted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Application: Zero-Shot Reasoning — models achieve CoT-level accuracy on reasoning benchmarks without any special prompt engineering. The reasoning happens internally in the cascade chains, not in the output text.</w:t>
            </w:r>
          </w:p>
        </w:tc>
      </w:tr>
    </w:tbl>
    <w:p>
      <w:pPr>
        <w:spacing w:before="50" w:after="0"/>
      </w:pPr>
    </w:p>
    <w:p>
      <w:pPr>
        <w:pStyle w:val="Heading2"/>
        <w:spacing w:before="260" w:after="120"/>
      </w:pPr>
      <w:r>
        <w:rPr>
          <w:rFonts w:ascii="Arial" w:cs="Arial" w:eastAsia="Arial" w:hAnsi="Arial"/>
          <w:b/>
          <w:bCs/>
          <w:color w:val="2A9D8F"/>
          <w:sz w:val="27"/>
          <w:szCs w:val="27"/>
        </w:rPr>
        <w:t xml:space="preserve">6.2  Detecting When a Model Is Hallucinating Before It Speaks</w:t>
      </w:r>
    </w:p>
    <w:p>
      <w:pPr>
        <w:spacing w:before="60" w:after="60" w:line="284"/>
        <w:jc w:val="both"/>
      </w:pPr>
      <w:r>
        <w:rPr>
          <w:rFonts w:ascii="Arial" w:cs="Arial" w:eastAsia="Arial" w:hAnsi="Arial"/>
          <w:b w:val="false"/>
          <w:bCs w:val="false"/>
          <w:i w:val="false"/>
          <w:iCs w:val="false"/>
          <w:color w:val="0D1B2A"/>
          <w:sz w:val="20"/>
          <w:szCs w:val="20"/>
        </w:rPr>
        <w:t xml:space="preserve">Hallucinations have a thermodynamic signature. When a model generates factual content it has not genuinely computed — pattern-completed rather than retrieved — the G-stream shows low variance and near-zero collapse events. The Q3 (MECHANICAL_COMMITTED) heads dominate. The output looks fluent but the internal process is in pattern-completion mode.</w:t>
      </w:r>
    </w:p>
    <w:p>
      <w:pPr>
        <w:spacing w:before="60" w:after="60" w:line="284"/>
        <w:jc w:val="both"/>
      </w:pPr>
      <w:r>
        <w:rPr>
          <w:rFonts w:ascii="Arial" w:cs="Arial" w:eastAsia="Arial" w:hAnsi="Arial"/>
          <w:b w:val="false"/>
          <w:bCs w:val="false"/>
          <w:i w:val="false"/>
          <w:iCs w:val="false"/>
          <w:color w:val="0D1B2A"/>
          <w:sz w:val="20"/>
          <w:szCs w:val="20"/>
        </w:rPr>
        <w:t xml:space="preserve">The DEGF monitor can detect this discrepancy before the token is emitted. A G-score below 0.4 combined with high token cost (confidently wrong) is a hallucination signature measurable in real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Application: Hallucination Early Warning — flag tokens before they are emitted when G &lt; 0.4 and token_cost &gt; 0.7. Trigger a retrieval step, a re-prompting, or a confidence qualifier. No external fact-check database required.</w:t>
            </w:r>
          </w:p>
        </w:tc>
      </w:tr>
    </w:tbl>
    <w:p>
      <w:pPr>
        <w:spacing w:before="50" w:after="0"/>
      </w:pPr>
    </w:p>
    <w:p>
      <w:pPr>
        <w:pStyle w:val="Heading2"/>
        <w:spacing w:before="260" w:after="120"/>
      </w:pPr>
      <w:r>
        <w:rPr>
          <w:rFonts w:ascii="Arial" w:cs="Arial" w:eastAsia="Arial" w:hAnsi="Arial"/>
          <w:b/>
          <w:bCs/>
          <w:color w:val="2A9D8F"/>
          <w:sz w:val="27"/>
          <w:szCs w:val="27"/>
        </w:rPr>
        <w:t xml:space="preserve">6.3  Compute-Efficient Inference via Thermodynamic Gating</w:t>
      </w:r>
    </w:p>
    <w:p>
      <w:pPr>
        <w:spacing w:before="60" w:after="60" w:line="284"/>
        <w:jc w:val="both"/>
      </w:pPr>
      <w:r>
        <w:rPr>
          <w:rFonts w:ascii="Arial" w:cs="Arial" w:eastAsia="Arial" w:hAnsi="Arial"/>
          <w:b w:val="false"/>
          <w:bCs w:val="false"/>
          <w:i w:val="false"/>
          <w:iCs w:val="false"/>
          <w:color w:val="0D1B2A"/>
          <w:sz w:val="20"/>
          <w:szCs w:val="20"/>
        </w:rPr>
        <w:t xml:space="preserve">The elaboration guillotine (Track A) saves 65% of compute on responses where the model generates meaningful content in the first 35% of tokens then fills the remainder. But this is the conservative estimate. A full DEGF-gated inference loop can do more:</w:t>
      </w:r>
    </w:p>
    <w:p>
      <w:pPr>
        <w:pStyle w:val="ListParagraph"/>
        <w:numPr>
          <w:ilvl w:val="0"/>
          <w:numId w:val="2"/>
        </w:numPr>
        <w:spacing w:before="40" w:after="40"/>
      </w:pPr>
      <w:r>
        <w:rPr>
          <w:rFonts w:ascii="Arial" w:cs="Arial" w:eastAsia="Arial" w:hAnsi="Arial"/>
          <w:color w:val="0D1B2A"/>
          <w:sz w:val="20"/>
          <w:szCs w:val="20"/>
        </w:rPr>
        <w:t xml:space="preserve">Skip-layer inference: heads with G &lt; 0.2 at token t can be bypassed without degrading output</w:t>
      </w:r>
    </w:p>
    <w:p>
      <w:pPr>
        <w:pStyle w:val="ListParagraph"/>
        <w:numPr>
          <w:ilvl w:val="0"/>
          <w:numId w:val="2"/>
        </w:numPr>
        <w:spacing w:before="40" w:after="40"/>
      </w:pPr>
      <w:r>
        <w:rPr>
          <w:rFonts w:ascii="Arial" w:cs="Arial" w:eastAsia="Arial" w:hAnsi="Arial"/>
          <w:color w:val="0D1B2A"/>
          <w:sz w:val="20"/>
          <w:szCs w:val="20"/>
        </w:rPr>
        <w:t xml:space="preserve">Early-exit at gate: if G collapses sharply after layer 20, layers 21-31 can be skipped</w:t>
      </w:r>
    </w:p>
    <w:p>
      <w:pPr>
        <w:pStyle w:val="ListParagraph"/>
        <w:numPr>
          <w:ilvl w:val="0"/>
          <w:numId w:val="2"/>
        </w:numPr>
        <w:spacing w:before="40" w:after="40"/>
      </w:pPr>
      <w:r>
        <w:rPr>
          <w:rFonts w:ascii="Arial" w:cs="Arial" w:eastAsia="Arial" w:hAnsi="Arial"/>
          <w:color w:val="0D1B2A"/>
          <w:sz w:val="20"/>
          <w:szCs w:val="20"/>
        </w:rPr>
        <w:t xml:space="preserve">Speculative decoding target: only verify tokens in high-G windows; skip verification in low-G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Application: 65-80% compute reduction on long-form generation with no quality loss in the genuine reasoning portion. The model does the expensive reasoning once and stops.</w:t>
            </w:r>
          </w:p>
        </w:tc>
      </w:tr>
    </w:tbl>
    <w:p>
      <w:pPr>
        <w:spacing w:before="50" w:after="0"/>
      </w:pPr>
    </w:p>
    <w:p>
      <w:pPr>
        <w:pStyle w:val="Heading2"/>
        <w:spacing w:before="260" w:after="120"/>
      </w:pPr>
      <w:r>
        <w:rPr>
          <w:rFonts w:ascii="Arial" w:cs="Arial" w:eastAsia="Arial" w:hAnsi="Arial"/>
          <w:b/>
          <w:bCs/>
          <w:color w:val="2A9D8F"/>
          <w:sz w:val="27"/>
          <w:szCs w:val="27"/>
        </w:rPr>
        <w:t xml:space="preserve">6.4  A Universal Reasoning Quality API</w:t>
      </w:r>
    </w:p>
    <w:p>
      <w:pPr>
        <w:spacing w:before="60" w:after="60" w:line="284"/>
        <w:jc w:val="both"/>
      </w:pPr>
      <w:r>
        <w:rPr>
          <w:rFonts w:ascii="Arial" w:cs="Arial" w:eastAsia="Arial" w:hAnsi="Arial"/>
          <w:b w:val="false"/>
          <w:bCs w:val="false"/>
          <w:i w:val="false"/>
          <w:iCs w:val="false"/>
          <w:color w:val="0D1B2A"/>
          <w:sz w:val="20"/>
          <w:szCs w:val="20"/>
        </w:rPr>
        <w:t xml:space="preserve">The 5-feature quality model (R²=0.878) provides a real-time quality estimate for any LLM output. This API does not require:</w:t>
      </w:r>
    </w:p>
    <w:p>
      <w:pPr>
        <w:pStyle w:val="ListParagraph"/>
        <w:numPr>
          <w:ilvl w:val="0"/>
          <w:numId w:val="2"/>
        </w:numPr>
        <w:spacing w:before="40" w:after="40"/>
      </w:pPr>
      <w:r>
        <w:rPr>
          <w:rFonts w:ascii="Arial" w:cs="Arial" w:eastAsia="Arial" w:hAnsi="Arial"/>
          <w:color w:val="0D1B2A"/>
          <w:sz w:val="20"/>
          <w:szCs w:val="20"/>
        </w:rPr>
        <w:t xml:space="preserve">Human annotators</w:t>
      </w:r>
    </w:p>
    <w:p>
      <w:pPr>
        <w:pStyle w:val="ListParagraph"/>
        <w:numPr>
          <w:ilvl w:val="0"/>
          <w:numId w:val="2"/>
        </w:numPr>
        <w:spacing w:before="40" w:after="40"/>
      </w:pPr>
      <w:r>
        <w:rPr>
          <w:rFonts w:ascii="Arial" w:cs="Arial" w:eastAsia="Arial" w:hAnsi="Arial"/>
          <w:color w:val="0D1B2A"/>
          <w:sz w:val="20"/>
          <w:szCs w:val="20"/>
        </w:rPr>
        <w:t xml:space="preserve">Reference answers</w:t>
      </w:r>
    </w:p>
    <w:p>
      <w:pPr>
        <w:pStyle w:val="ListParagraph"/>
        <w:numPr>
          <w:ilvl w:val="0"/>
          <w:numId w:val="2"/>
        </w:numPr>
        <w:spacing w:before="40" w:after="40"/>
      </w:pPr>
      <w:r>
        <w:rPr>
          <w:rFonts w:ascii="Arial" w:cs="Arial" w:eastAsia="Arial" w:hAnsi="Arial"/>
          <w:color w:val="0D1B2A"/>
          <w:sz w:val="20"/>
          <w:szCs w:val="20"/>
        </w:rPr>
        <w:t xml:space="preserve">Task-specific evaluation metrics</w:t>
      </w:r>
    </w:p>
    <w:p>
      <w:pPr>
        <w:pStyle w:val="ListParagraph"/>
        <w:numPr>
          <w:ilvl w:val="0"/>
          <w:numId w:val="2"/>
        </w:numPr>
        <w:spacing w:before="40" w:after="40"/>
      </w:pPr>
      <w:r>
        <w:rPr>
          <w:rFonts w:ascii="Arial" w:cs="Arial" w:eastAsia="Arial" w:hAnsi="Arial"/>
          <w:color w:val="0D1B2A"/>
          <w:sz w:val="20"/>
          <w:szCs w:val="20"/>
        </w:rPr>
        <w:t xml:space="preserve">Model fine-tuning</w:t>
      </w:r>
    </w:p>
    <w:p>
      <w:pPr>
        <w:spacing w:before="60" w:after="60" w:line="284"/>
        <w:jc w:val="both"/>
      </w:pPr>
      <w:r>
        <w:rPr>
          <w:rFonts w:ascii="Arial" w:cs="Arial" w:eastAsia="Arial" w:hAnsi="Arial"/>
          <w:b w:val="false"/>
          <w:bCs w:val="false"/>
          <w:i w:val="false"/>
          <w:iCs w:val="false"/>
          <w:color w:val="0D1B2A"/>
          <w:sz w:val="20"/>
          <w:szCs w:val="20"/>
        </w:rPr>
        <w:t xml:space="preserve">It requires only attention patterns — available from any transformer model with output_attentions=True. The quality score Q̂ is a thermodynamic quantity: it measures the internal computational richness, not the surface-level fluency.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Application: Model-Agnostic Quality Scoring — run the DEGF monitor on any model on any task. Compare response quality across models by their thermodynamic signatures. This is the first interpretability-grounded quality metric that works without labels.</w:t>
            </w:r>
          </w:p>
        </w:tc>
      </w:tr>
    </w:tbl>
    <w:p>
      <w:pPr>
        <w:spacing w:before="50" w:after="0"/>
      </w:pPr>
    </w:p>
    <w:p>
      <w:pPr>
        <w:pStyle w:val="Heading2"/>
        <w:spacing w:before="260" w:after="120"/>
      </w:pPr>
      <w:r>
        <w:rPr>
          <w:rFonts w:ascii="Arial" w:cs="Arial" w:eastAsia="Arial" w:hAnsi="Arial"/>
          <w:b/>
          <w:bCs/>
          <w:color w:val="2A9D8F"/>
          <w:sz w:val="27"/>
          <w:szCs w:val="27"/>
        </w:rPr>
        <w:t xml:space="preserve">6.5  Mechanistic Model Debugging</w:t>
      </w:r>
    </w:p>
    <w:p>
      <w:pPr>
        <w:spacing w:before="60" w:after="60" w:line="284"/>
        <w:jc w:val="both"/>
      </w:pPr>
      <w:r>
        <w:rPr>
          <w:rFonts w:ascii="Arial" w:cs="Arial" w:eastAsia="Arial" w:hAnsi="Arial"/>
          <w:b w:val="false"/>
          <w:bCs w:val="false"/>
          <w:i w:val="false"/>
          <w:iCs w:val="false"/>
          <w:color w:val="0D1B2A"/>
          <w:sz w:val="20"/>
          <w:szCs w:val="20"/>
        </w:rPr>
        <w:t xml:space="preserve">When a model fails on a task, current debugging methods are limited: check the training data, run ablations, compare outputs. None of these tell you which circuit is failing or why. DEGF changes this fundamentally.</w:t>
      </w:r>
    </w:p>
    <w:p>
      <w:pPr>
        <w:pStyle w:val="ListParagraph"/>
        <w:numPr>
          <w:ilvl w:val="0"/>
          <w:numId w:val="2"/>
        </w:numPr>
        <w:spacing w:before="40" w:after="40"/>
      </w:pPr>
      <w:r>
        <w:rPr>
          <w:rFonts w:ascii="Arial" w:cs="Arial" w:eastAsia="Arial" w:hAnsi="Arial"/>
          <w:color w:val="0D1B2A"/>
          <w:sz w:val="20"/>
          <w:szCs w:val="20"/>
        </w:rPr>
        <w:t xml:space="preserve">Run a DEGF scan on both the failing and succeeding cases</w:t>
      </w:r>
    </w:p>
    <w:p>
      <w:pPr>
        <w:pStyle w:val="ListParagraph"/>
        <w:numPr>
          <w:ilvl w:val="0"/>
          <w:numId w:val="2"/>
        </w:numPr>
        <w:spacing w:before="40" w:after="40"/>
      </w:pPr>
      <w:r>
        <w:rPr>
          <w:rFonts w:ascii="Arial" w:cs="Arial" w:eastAsia="Arial" w:hAnsi="Arial"/>
          <w:color w:val="0D1B2A"/>
          <w:sz w:val="20"/>
          <w:szCs w:val="20"/>
        </w:rPr>
        <w:t xml:space="preserve">Compare the cascade chain structures — which chains are absent on the failing case?</w:t>
      </w:r>
    </w:p>
    <w:p>
      <w:pPr>
        <w:pStyle w:val="ListParagraph"/>
        <w:numPr>
          <w:ilvl w:val="0"/>
          <w:numId w:val="2"/>
        </w:numPr>
        <w:spacing w:before="40" w:after="40"/>
      </w:pPr>
      <w:r>
        <w:rPr>
          <w:rFonts w:ascii="Arial" w:cs="Arial" w:eastAsia="Arial" w:hAnsi="Arial"/>
          <w:color w:val="0D1B2A"/>
          <w:sz w:val="20"/>
          <w:szCs w:val="20"/>
        </w:rPr>
        <w:t xml:space="preserve">Identify the earliest layer where G diverges between the two cases</w:t>
      </w:r>
    </w:p>
    <w:p>
      <w:pPr>
        <w:pStyle w:val="ListParagraph"/>
        <w:numPr>
          <w:ilvl w:val="0"/>
          <w:numId w:val="2"/>
        </w:numPr>
        <w:spacing w:before="40" w:after="40"/>
      </w:pPr>
      <w:r>
        <w:rPr>
          <w:rFonts w:ascii="Arial" w:cs="Arial" w:eastAsia="Arial" w:hAnsi="Arial"/>
          <w:color w:val="0D1B2A"/>
          <w:sz w:val="20"/>
          <w:szCs w:val="20"/>
        </w:rPr>
        <w:t xml:space="preserve">Pinpoint the exact (layer, head) that is the failure point</w:t>
      </w:r>
    </w:p>
    <w:p>
      <w:pPr>
        <w:pStyle w:val="ListParagraph"/>
        <w:numPr>
          <w:ilvl w:val="0"/>
          <w:numId w:val="2"/>
        </w:numPr>
        <w:spacing w:before="40" w:after="40"/>
      </w:pPr>
      <w:r>
        <w:rPr>
          <w:rFonts w:ascii="Arial" w:cs="Arial" w:eastAsia="Arial" w:hAnsi="Arial"/>
          <w:color w:val="0D1B2A"/>
          <w:sz w:val="20"/>
          <w:szCs w:val="20"/>
        </w:rPr>
        <w:t xml:space="preserve">Apply the targeted O-matrix amplification intervention to restore the circuit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Application: Surgical Model Repair — fix specific reasoning failures by amplifying the identified Q2 heads without full fine-tuning. A targeted +b bias on 3-5 heads may fix a class of reasoning errors that would otherwise require retraining.</w:t>
            </w:r>
          </w:p>
        </w:tc>
      </w:tr>
    </w:tbl>
    <w:p>
      <w:pPr>
        <w:spacing w:before="50" w:after="0"/>
      </w:pPr>
    </w:p>
    <w:p>
      <w:pPr>
        <w:pStyle w:val="Heading2"/>
        <w:spacing w:before="260" w:after="120"/>
      </w:pPr>
      <w:r>
        <w:rPr>
          <w:rFonts w:ascii="Arial" w:cs="Arial" w:eastAsia="Arial" w:hAnsi="Arial"/>
          <w:b/>
          <w:bCs/>
          <w:color w:val="2A9D8F"/>
          <w:sz w:val="27"/>
          <w:szCs w:val="27"/>
        </w:rPr>
        <w:t xml:space="preserve">6.6  The Reasoning Benchmark That Cannot Be Gamed</w:t>
      </w:r>
    </w:p>
    <w:p>
      <w:pPr>
        <w:spacing w:before="60" w:after="60" w:line="284"/>
        <w:jc w:val="both"/>
      </w:pPr>
      <w:r>
        <w:rPr>
          <w:rFonts w:ascii="Arial" w:cs="Arial" w:eastAsia="Arial" w:hAnsi="Arial"/>
          <w:b w:val="false"/>
          <w:bCs w:val="false"/>
          <w:i w:val="false"/>
          <w:iCs w:val="false"/>
          <w:color w:val="0D1B2A"/>
          <w:sz w:val="20"/>
          <w:szCs w:val="20"/>
        </w:rPr>
        <w:t xml:space="preserve">Current LLM benchmarks are subject to contamination, prompt engineering, and post-hoc rationalisation. A model can score 90% on MMLU by pattern-matching without any genuine reasoning. DEGF enables a new class of benchmark:</w:t>
      </w:r>
    </w:p>
    <w:p>
      <w:pPr>
        <w:spacing w:before="60" w:after="60" w:line="284"/>
        <w:jc w:val="both"/>
      </w:pPr>
      <w:r>
        <w:rPr>
          <w:rFonts w:ascii="Arial" w:cs="Arial" w:eastAsia="Arial" w:hAnsi="Arial"/>
          <w:b w:val="false"/>
          <w:bCs w:val="false"/>
          <w:i w:val="false"/>
          <w:iCs w:val="false"/>
          <w:color w:val="0D1B2A"/>
          <w:sz w:val="20"/>
          <w:szCs w:val="20"/>
        </w:rPr>
        <w:t xml:space="preserve">The Thermodynamic Reasoning Test (TRT) — a benchmark that measures not what the model answers but how it answers. A model that produces the correct answer via Q3 (MECHANICAL_COMMITTED) pattern completion scores lower than a model that produces the same correct answer via a Q2 cascade chain. The process, not the product, is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Application: Process-Based Evaluation — TRT scores models on the thermodynamic quality of their reasoning process. A model cannot game this by memorising answers. It must develop genuine cascade chains to score well.</w:t>
            </w:r>
          </w:p>
        </w:tc>
      </w:tr>
    </w:tbl>
    <w:p>
      <w:pPr>
        <w:spacing w:before="80" w:after="0"/>
      </w:pPr>
    </w:p>
    <w:p>
      <w:pPr>
        <w:pStyle w:val="Heading1"/>
        <w:spacing w:before="420" w:after="160"/>
      </w:pPr>
      <w:r>
        <w:rPr>
          <w:rFonts w:ascii="Arial" w:cs="Arial" w:eastAsia="Arial" w:hAnsi="Arial"/>
          <w:b/>
          <w:bCs/>
          <w:color w:val="0D1B2A"/>
          <w:sz w:val="36"/>
          <w:szCs w:val="36"/>
        </w:rPr>
        <w:t xml:space="preserve">7. Considerations and Specifications for Advanced Development</w:t>
      </w:r>
    </w:p>
    <w:p>
      <w:pPr>
        <w:pBdr>
          <w:bottom w:val="single" w:color="2A9D8F" w:sz="4" w:space="1"/>
        </w:pBdr>
        <w:spacing w:before="80" w:after="80"/>
      </w:pPr>
    </w:p>
    <w:p>
      <w:pPr>
        <w:pStyle w:val="Heading2"/>
        <w:spacing w:before="260" w:after="120"/>
      </w:pPr>
      <w:r>
        <w:rPr>
          <w:rFonts w:ascii="Arial" w:cs="Arial" w:eastAsia="Arial" w:hAnsi="Arial"/>
          <w:b/>
          <w:bCs/>
          <w:color w:val="2A9D8F"/>
          <w:sz w:val="27"/>
          <w:szCs w:val="27"/>
        </w:rPr>
        <w:t xml:space="preserve">7.1  Scaling Laws for DEGF Metrics</w:t>
      </w:r>
    </w:p>
    <w:p>
      <w:pPr>
        <w:spacing w:before="60" w:after="60" w:line="284"/>
        <w:jc w:val="both"/>
      </w:pPr>
      <w:r>
        <w:rPr>
          <w:rFonts w:ascii="Arial" w:cs="Arial" w:eastAsia="Arial" w:hAnsi="Arial"/>
          <w:b w:val="false"/>
          <w:bCs w:val="false"/>
          <w:i w:val="false"/>
          <w:iCs w:val="false"/>
          <w:color w:val="0D1B2A"/>
          <w:sz w:val="20"/>
          <w:szCs w:val="20"/>
        </w:rPr>
        <w:t xml:space="preserve">A critical question: do DEGF metrics scale predictably with model size? The simulation data shows a 70B projected model has 4,480 heads (vs 1,024 in 32L×32H) with 128 cascade chains of max length 191. This suggests: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2200"/>
        <w:gridCol w:w="1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 Scale</w:t>
            </w:r>
          </w:p>
        </w:tc>
        <w:tc>
          <w:tcPr>
            <w:tcW w:type="dxa" w:w="1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 Heads</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Projected Q2 Count</w:t>
            </w:r>
          </w:p>
        </w:tc>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Projected Max Chain</w:t>
            </w:r>
          </w:p>
        </w:tc>
        <w:tc>
          <w:tcPr>
            <w:tcW w:type="dxa" w:w="1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 Mean (projected)</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7B (32L×32H)</w:t>
            </w:r>
          </w:p>
        </w:tc>
        <w:tc>
          <w:tcPr>
            <w:tcW w:type="dxa" w:w="1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1,024</w:t>
            </w:r>
          </w:p>
        </w:tc>
        <w:tc>
          <w:tcPr>
            <w:tcW w:type="dxa" w:w="20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252</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~120</w:t>
            </w:r>
          </w:p>
        </w:tc>
        <w:tc>
          <w:tcPr>
            <w:tcW w:type="dxa" w:w="11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~0.49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13B (40L×40H)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~394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~145</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~0.50</w:t>
            </w:r>
          </w:p>
        </w:tc>
      </w:tr>
      <w:tr>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70B (70L×64H)</w:t>
            </w:r>
          </w:p>
        </w:tc>
        <w:tc>
          <w:tcPr>
            <w:tcW w:type="dxa" w:w="1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4,480</w:t>
            </w:r>
          </w:p>
        </w:tc>
        <w:tc>
          <w:tcPr>
            <w:tcW w:type="dxa" w:w="20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~1,050</w:t>
            </w:r>
          </w:p>
        </w:tc>
        <w:tc>
          <w:tcPr>
            <w:tcW w:type="dxa" w:w="22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~191</w:t>
            </w:r>
          </w:p>
        </w:tc>
        <w:tc>
          <w:tcPr>
            <w:tcW w:type="dxa" w:w="11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~0.48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GPT-4 class (120L×96H)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11,520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~2,700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~240+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~0.47 (projected)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9D8F" w:sz="6"/>
              <w:left w:val="thick" w:color="2A9D8F" w:sz="14"/>
              <w:bottom w:val="single" w:color="CCCCCC" w:sz="1"/>
              <w:right w:val="single" w:color="CCCCCC" w:sz="1"/>
            </w:tcBorders>
            <w:shd w:fill="EAF4F4"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Hypothesis: Q2 density (as % of total heads) converges to ~23-25% regardless of scale. The reasoning circuit is a fixed fraction of the model, not a fixed absolute count. This would be the first scaling law derived from thermodynamic analysis.</w:t>
            </w:r>
          </w:p>
        </w:tc>
      </w:tr>
    </w:tbl>
    <w:p>
      <w:pPr>
        <w:spacing w:before="50" w:after="0"/>
      </w:pPr>
    </w:p>
    <w:p>
      <w:pPr>
        <w:pStyle w:val="Heading2"/>
        <w:spacing w:before="260" w:after="120"/>
      </w:pPr>
      <w:r>
        <w:rPr>
          <w:rFonts w:ascii="Arial" w:cs="Arial" w:eastAsia="Arial" w:hAnsi="Arial"/>
          <w:b/>
          <w:bCs/>
          <w:color w:val="2A9D8F"/>
          <w:sz w:val="27"/>
          <w:szCs w:val="27"/>
        </w:rPr>
        <w:t xml:space="preserve">7.2  The Multi-Modal Extension</w:t>
      </w:r>
    </w:p>
    <w:p>
      <w:pPr>
        <w:spacing w:before="60" w:after="60" w:line="284"/>
        <w:jc w:val="both"/>
      </w:pPr>
      <w:r>
        <w:rPr>
          <w:rFonts w:ascii="Arial" w:cs="Arial" w:eastAsia="Arial" w:hAnsi="Arial"/>
          <w:b w:val="false"/>
          <w:bCs w:val="false"/>
          <w:i w:val="false"/>
          <w:iCs w:val="false"/>
          <w:color w:val="0D1B2A"/>
          <w:sz w:val="20"/>
          <w:szCs w:val="20"/>
        </w:rPr>
        <w:t xml:space="preserve">DEGF currently operates on text-only transformers. Vision transformers, multimodal models (LLaVA, Gemini, Claude), and audio transformers all use the same attention mechanism. The entropy framework applies identically:</w:t>
      </w:r>
    </w:p>
    <w:p>
      <w:pPr>
        <w:pStyle w:val="ListParagraph"/>
        <w:numPr>
          <w:ilvl w:val="0"/>
          <w:numId w:val="2"/>
        </w:numPr>
        <w:spacing w:before="40" w:after="40"/>
      </w:pPr>
      <w:r>
        <w:rPr>
          <w:rFonts w:ascii="Arial" w:cs="Arial" w:eastAsia="Arial" w:hAnsi="Arial"/>
          <w:color w:val="0D1B2A"/>
          <w:sz w:val="20"/>
          <w:szCs w:val="20"/>
        </w:rPr>
        <w:t xml:space="preserve">Vision: spatial attention entropy — does the model commit to a region (low entropy) or scan broadly (high entropy)?</w:t>
      </w:r>
    </w:p>
    <w:p>
      <w:pPr>
        <w:pStyle w:val="ListParagraph"/>
        <w:numPr>
          <w:ilvl w:val="0"/>
          <w:numId w:val="2"/>
        </w:numPr>
        <w:spacing w:before="40" w:after="40"/>
      </w:pPr>
      <w:r>
        <w:rPr>
          <w:rFonts w:ascii="Arial" w:cs="Arial" w:eastAsia="Arial" w:hAnsi="Arial"/>
          <w:color w:val="0D1B2A"/>
          <w:sz w:val="20"/>
          <w:szCs w:val="20"/>
        </w:rPr>
        <w:t xml:space="preserve">Audio: temporal attention entropy — does the model lock to a specific frame or integrate broadly?</w:t>
      </w:r>
    </w:p>
    <w:p>
      <w:pPr>
        <w:pStyle w:val="ListParagraph"/>
        <w:numPr>
          <w:ilvl w:val="0"/>
          <w:numId w:val="2"/>
        </w:numPr>
        <w:spacing w:before="40" w:after="40"/>
      </w:pPr>
      <w:r>
        <w:rPr>
          <w:rFonts w:ascii="Arial" w:cs="Arial" w:eastAsia="Arial" w:hAnsi="Arial"/>
          <w:color w:val="0D1B2A"/>
          <w:sz w:val="20"/>
          <w:szCs w:val="20"/>
        </w:rPr>
        <w:t xml:space="preserve">Cross-modal: do Q2 heads in the text stream correlate with Q2 heads in the visual 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Extension: Multi-Modal Cascade Detection — identify cross-modal reasoning circuits where a visual Q2 head fires, cascades through a cross-attention layer, and triggers a text Q2 head. This is the mechanistic trace of visual reasoning.</w:t>
            </w:r>
          </w:p>
        </w:tc>
      </w:tr>
    </w:tbl>
    <w:p>
      <w:pPr>
        <w:spacing w:before="50" w:after="0"/>
      </w:pPr>
    </w:p>
    <w:p>
      <w:pPr>
        <w:pStyle w:val="Heading2"/>
        <w:spacing w:before="260" w:after="120"/>
      </w:pPr>
      <w:r>
        <w:rPr>
          <w:rFonts w:ascii="Arial" w:cs="Arial" w:eastAsia="Arial" w:hAnsi="Arial"/>
          <w:b/>
          <w:bCs/>
          <w:color w:val="2A9D8F"/>
          <w:sz w:val="27"/>
          <w:szCs w:val="27"/>
        </w:rPr>
        <w:t xml:space="preserve">7.3  The Adversarial Robustness Connection</w:t>
      </w:r>
    </w:p>
    <w:p>
      <w:pPr>
        <w:spacing w:before="60" w:after="60" w:line="284"/>
        <w:jc w:val="both"/>
      </w:pPr>
      <w:r>
        <w:rPr>
          <w:rFonts w:ascii="Arial" w:cs="Arial" w:eastAsia="Arial" w:hAnsi="Arial"/>
          <w:b w:val="false"/>
          <w:bCs w:val="false"/>
          <w:i w:val="false"/>
          <w:iCs w:val="false"/>
          <w:color w:val="0D1B2A"/>
          <w:sz w:val="20"/>
          <w:szCs w:val="20"/>
        </w:rPr>
        <w:t xml:space="preserve">Adversarial attacks on language models work by disrupting the model's pattern completion circuits — pushing Q3 heads into incorrect attractors. DEGF provides a direct view of this:</w:t>
      </w:r>
    </w:p>
    <w:p>
      <w:pPr>
        <w:pStyle w:val="ListParagraph"/>
        <w:numPr>
          <w:ilvl w:val="0"/>
          <w:numId w:val="2"/>
        </w:numPr>
        <w:spacing w:before="40" w:after="40"/>
      </w:pPr>
      <w:r>
        <w:rPr>
          <w:rFonts w:ascii="Arial" w:cs="Arial" w:eastAsia="Arial" w:hAnsi="Arial"/>
          <w:color w:val="0D1B2A"/>
          <w:sz w:val="20"/>
          <w:szCs w:val="20"/>
        </w:rPr>
        <w:t xml:space="preserve">Clean inputs: Q2 cascade chains are long and strong (mean G=0.91 in late layers)</w:t>
      </w:r>
    </w:p>
    <w:p>
      <w:pPr>
        <w:pStyle w:val="ListParagraph"/>
        <w:numPr>
          <w:ilvl w:val="0"/>
          <w:numId w:val="2"/>
        </w:numPr>
        <w:spacing w:before="40" w:after="40"/>
      </w:pPr>
      <w:r>
        <w:rPr>
          <w:rFonts w:ascii="Arial" w:cs="Arial" w:eastAsia="Arial" w:hAnsi="Arial"/>
          <w:color w:val="0D1B2A"/>
          <w:sz w:val="20"/>
          <w:szCs w:val="20"/>
        </w:rPr>
        <w:t xml:space="preserve">Adversarial inputs: Q3 heads dominate; cascade chains break; G-stream collapses early</w:t>
      </w:r>
    </w:p>
    <w:p>
      <w:pPr>
        <w:pStyle w:val="ListParagraph"/>
        <w:numPr>
          <w:ilvl w:val="0"/>
          <w:numId w:val="2"/>
        </w:numPr>
        <w:spacing w:before="40" w:after="40"/>
      </w:pPr>
      <w:r>
        <w:rPr>
          <w:rFonts w:ascii="Arial" w:cs="Arial" w:eastAsia="Arial" w:hAnsi="Arial"/>
          <w:color w:val="0D1B2A"/>
          <w:sz w:val="20"/>
          <w:szCs w:val="20"/>
        </w:rPr>
        <w:t xml:space="preserve">DEGF score on adversarial input: G drops dramatically, Q̂ approaches 0</w:t>
      </w:r>
    </w:p>
    <w:p>
      <w:pPr>
        <w:spacing w:before="60" w:after="60" w:line="284"/>
        <w:jc w:val="both"/>
      </w:pPr>
      <w:r>
        <w:rPr>
          <w:rFonts w:ascii="Arial" w:cs="Arial" w:eastAsia="Arial" w:hAnsi="Arial"/>
          <w:b w:val="false"/>
          <w:bCs w:val="false"/>
          <w:i w:val="false"/>
          <w:iCs w:val="false"/>
          <w:color w:val="0D1B2A"/>
          <w:sz w:val="20"/>
          <w:szCs w:val="20"/>
        </w:rPr>
        <w:t xml:space="preserve">This means DEGF can serve as an adversarial input detector without any adversarial training. The thermodynamic signature of an attack is measurably different from the signature of a genuine input.</w:t>
      </w:r>
    </w:p>
    <w:p>
      <w:pPr>
        <w:spacing w:before="50" w:after="0"/>
      </w:pPr>
    </w:p>
    <w:p>
      <w:pPr>
        <w:pStyle w:val="Heading2"/>
        <w:spacing w:before="260" w:after="120"/>
      </w:pPr>
      <w:r>
        <w:rPr>
          <w:rFonts w:ascii="Arial" w:cs="Arial" w:eastAsia="Arial" w:hAnsi="Arial"/>
          <w:b/>
          <w:bCs/>
          <w:color w:val="2A9D8F"/>
          <w:sz w:val="27"/>
          <w:szCs w:val="27"/>
        </w:rPr>
        <w:t xml:space="preserve">7.4  The Interpretability Handoff Problem</w:t>
      </w:r>
    </w:p>
    <w:p>
      <w:pPr>
        <w:spacing w:before="60" w:after="60" w:line="284"/>
        <w:jc w:val="both"/>
      </w:pPr>
      <w:r>
        <w:rPr>
          <w:rFonts w:ascii="Arial" w:cs="Arial" w:eastAsia="Arial" w:hAnsi="Arial"/>
          <w:b w:val="false"/>
          <w:bCs w:val="false"/>
          <w:i w:val="false"/>
          <w:iCs w:val="false"/>
          <w:color w:val="0D1B2A"/>
          <w:sz w:val="20"/>
          <w:szCs w:val="20"/>
        </w:rPr>
        <w:t xml:space="preserve">DEGF identifies which heads matter (Q2 circuit members) and when they fire (cascade chains). But it does not say what these heads represent semantically. For the full picture, DEGF must be combined with existing semantic interpretability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DEGF Output</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Partner Method</w:t>
            </w:r>
          </w:p>
        </w:tc>
        <w:tc>
          <w:tcPr>
            <w:tcW w:type="dxa" w:w="4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Combined Capability</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Q2 head locations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Attention head semantic probing (Elhage et al.)</w:t>
            </w:r>
          </w:p>
        </w:tc>
        <w:tc>
          <w:tcPr>
            <w:tcW w:type="dxa" w:w="41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Know WHICH heads matter AND what they attend 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Cascade chain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Activation patching (Meng et 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Confirm cascade is causally active, not coincidental</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G-stream drop</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Logit lens (Nostalgebraist)</w:t>
            </w:r>
          </w:p>
        </w:tc>
        <w:tc>
          <w:tcPr>
            <w:tcW w:type="dxa" w:w="41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See what the model thinks at the G collapse point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L_thermo training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Feature steering (Templeton et 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Directly amplify features in the Q2 circuit</w:t>
            </w:r>
          </w:p>
        </w:tc>
      </w:tr>
      <w:tr>
        <w:tc>
          <w:tcPr>
            <w:tcW w:type="dxa" w:w="24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Cross-layer V correlation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Superposition analysis (Elhage et al.)</w:t>
            </w:r>
          </w:p>
        </w:tc>
        <w:tc>
          <w:tcPr>
            <w:tcW w:type="dxa" w:w="416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Map how reasoning features are stored across heads</w:t>
            </w:r>
          </w:p>
        </w:tc>
      </w:tr>
    </w:tbl>
    <w:p>
      <w:pPr>
        <w:spacing w:before="50" w:after="0"/>
      </w:pPr>
    </w:p>
    <w:p>
      <w:pPr>
        <w:pStyle w:val="Heading2"/>
        <w:spacing w:before="260" w:after="120"/>
      </w:pPr>
      <w:r>
        <w:rPr>
          <w:rFonts w:ascii="Arial" w:cs="Arial" w:eastAsia="Arial" w:hAnsi="Arial"/>
          <w:b/>
          <w:bCs/>
          <w:color w:val="2A9D8F"/>
          <w:sz w:val="27"/>
          <w:szCs w:val="27"/>
        </w:rPr>
        <w:t xml:space="preserve">7.5  Ethical and Safety Implications</w:t>
      </w:r>
    </w:p>
    <w:p>
      <w:pPr>
        <w:spacing w:before="60" w:after="60" w:line="284"/>
        <w:jc w:val="both"/>
      </w:pPr>
      <w:r>
        <w:rPr>
          <w:rFonts w:ascii="Arial" w:cs="Arial" w:eastAsia="Arial" w:hAnsi="Arial"/>
          <w:b w:val="false"/>
          <w:bCs w:val="false"/>
          <w:i w:val="false"/>
          <w:iCs w:val="false"/>
          <w:color w:val="0D1B2A"/>
          <w:sz w:val="20"/>
          <w:szCs w:val="20"/>
        </w:rPr>
        <w:t xml:space="preserve">DEGF has direct safety relevance that should be developed deliberately:</w:t>
      </w:r>
    </w:p>
    <w:p>
      <w:pPr>
        <w:pStyle w:val="Heading3"/>
        <w:spacing w:before="180" w:after="80"/>
      </w:pPr>
      <w:r>
        <w:rPr>
          <w:rFonts w:ascii="Arial" w:cs="Arial" w:eastAsia="Arial" w:hAnsi="Arial"/>
          <w:b/>
          <w:bCs/>
          <w:color w:val="2C3E50"/>
          <w:sz w:val="22"/>
          <w:szCs w:val="22"/>
        </w:rPr>
        <w:t xml:space="preserve">Positive Safety Applications</w:t>
      </w:r>
    </w:p>
    <w:p>
      <w:pPr>
        <w:pStyle w:val="ListParagraph"/>
        <w:numPr>
          <w:ilvl w:val="0"/>
          <w:numId w:val="2"/>
        </w:numPr>
        <w:spacing w:before="40" w:after="40"/>
      </w:pPr>
      <w:r>
        <w:rPr>
          <w:rFonts w:ascii="Arial" w:cs="Arial" w:eastAsia="Arial" w:hAnsi="Arial"/>
          <w:color w:val="0D1B2A"/>
          <w:sz w:val="20"/>
          <w:szCs w:val="20"/>
        </w:rPr>
        <w:t xml:space="preserve">Detecting when a model is rationalising (low G + confident output) vs genuinely reasoning (high G + considered output)</w:t>
      </w:r>
    </w:p>
    <w:p>
      <w:pPr>
        <w:pStyle w:val="ListParagraph"/>
        <w:numPr>
          <w:ilvl w:val="0"/>
          <w:numId w:val="2"/>
        </w:numPr>
        <w:spacing w:before="40" w:after="40"/>
      </w:pPr>
      <w:r>
        <w:rPr>
          <w:rFonts w:ascii="Arial" w:cs="Arial" w:eastAsia="Arial" w:hAnsi="Arial"/>
          <w:color w:val="0D1B2A"/>
          <w:sz w:val="20"/>
          <w:szCs w:val="20"/>
        </w:rPr>
        <w:t xml:space="preserve">Identifying jailbreak attacks thermodynamically — they suppress Q2 circuits and amplify Q3</w:t>
      </w:r>
    </w:p>
    <w:p>
      <w:pPr>
        <w:pStyle w:val="ListParagraph"/>
        <w:numPr>
          <w:ilvl w:val="0"/>
          <w:numId w:val="2"/>
        </w:numPr>
        <w:spacing w:before="40" w:after="40"/>
      </w:pPr>
      <w:r>
        <w:rPr>
          <w:rFonts w:ascii="Arial" w:cs="Arial" w:eastAsia="Arial" w:hAnsi="Arial"/>
          <w:color w:val="0D1B2A"/>
          <w:sz w:val="20"/>
          <w:szCs w:val="20"/>
        </w:rPr>
        <w:t xml:space="preserve">Scoring alignment fine-tuning quality — does RLHF training maintain or destroy the reasoning cascade chains?</w:t>
      </w:r>
    </w:p>
    <w:p>
      <w:pPr>
        <w:pStyle w:val="ListParagraph"/>
        <w:numPr>
          <w:ilvl w:val="0"/>
          <w:numId w:val="2"/>
        </w:numPr>
        <w:spacing w:before="40" w:after="40"/>
      </w:pPr>
      <w:r>
        <w:rPr>
          <w:rFonts w:ascii="Arial" w:cs="Arial" w:eastAsia="Arial" w:hAnsi="Arial"/>
          <w:color w:val="0D1B2A"/>
          <w:sz w:val="20"/>
          <w:szCs w:val="20"/>
        </w:rPr>
        <w:t xml:space="preserve">Building models that refuse to answer when G is below threshold — 'I don't have sufficient information to reason about this'</w:t>
      </w:r>
    </w:p>
    <w:p>
      <w:pPr>
        <w:pStyle w:val="Heading3"/>
        <w:spacing w:before="180" w:after="80"/>
      </w:pPr>
      <w:r>
        <w:rPr>
          <w:rFonts w:ascii="Arial" w:cs="Arial" w:eastAsia="Arial" w:hAnsi="Arial"/>
          <w:b/>
          <w:bCs/>
          <w:color w:val="2C3E50"/>
          <w:sz w:val="22"/>
          <w:szCs w:val="22"/>
        </w:rPr>
        <w:t xml:space="preserve">Risks to Manage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3946" w:sz="6"/>
              <w:left w:val="thick" w:color="E63946" w:sz="14"/>
              <w:bottom w:val="single" w:color="CCCCCC" w:sz="1"/>
              <w:right w:val="single" w:color="CCCCCC" w:sz="1"/>
            </w:tcBorders>
            <w:shd w:fill="FDEDEC"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The Guillotine Risk: If the elaboration guillotine is used to truncate responses, it must not suppress the model's capacity to express uncertainty, caveats, or safety warnings. These often appear after the main reasoning point (low G phase) but are critically important. Mitigation: whitelist safety-relevant token patterns; never guillotine when the topic is high-stakes (medical, legal, safety-critical domains).</w:t>
            </w:r>
          </w:p>
        </w:tc>
      </w:tr>
    </w:tbl>
    <w:p>
      <w:pPr>
        <w:spacing w:before="80" w:after="0"/>
      </w:pPr>
    </w:p>
    <w:p>
      <w:pPr>
        <w:pStyle w:val="Heading1"/>
        <w:spacing w:before="420" w:after="160"/>
      </w:pPr>
      <w:r>
        <w:rPr>
          <w:rFonts w:ascii="Arial" w:cs="Arial" w:eastAsia="Arial" w:hAnsi="Arial"/>
          <w:b/>
          <w:bCs/>
          <w:color w:val="0D1B2A"/>
          <w:sz w:val="36"/>
          <w:szCs w:val="36"/>
        </w:rPr>
        <w:t xml:space="preserve">8. The 12-Month Build Roadmap</w:t>
      </w:r>
    </w:p>
    <w:p>
      <w:pPr>
        <w:pBdr>
          <w:bottom w:val="single" w:color="2A9D8F" w:sz="4" w:space="1"/>
        </w:pBdr>
        <w:spacing w:before="80" w:after="80"/>
      </w:pPr>
    </w:p>
    <w:p>
      <w:pPr>
        <w:spacing w:before="60" w:after="60" w:line="284"/>
        <w:jc w:val="both"/>
      </w:pPr>
      <w:r>
        <w:rPr>
          <w:rFonts w:ascii="Arial" w:cs="Arial" w:eastAsia="Arial" w:hAnsi="Arial"/>
          <w:b w:val="false"/>
          <w:bCs w:val="false"/>
          <w:i w:val="false"/>
          <w:iCs w:val="false"/>
          <w:color w:val="0D1B2A"/>
          <w:sz w:val="20"/>
          <w:szCs w:val="20"/>
        </w:rPr>
        <w:t xml:space="preserve">A concrete, resource-aware roadmap. Each milestone has a measurable success criterion.</w:t>
      </w:r>
    </w:p>
    <w:p>
      <w:pPr>
        <w:spacing w:before="30" w:after="0"/>
      </w:pPr>
    </w:p>
    <w:p>
      <w:pPr>
        <w:pStyle w:val="Heading2"/>
        <w:spacing w:before="260" w:after="120"/>
      </w:pPr>
      <w:r>
        <w:rPr>
          <w:rFonts w:ascii="Arial" w:cs="Arial" w:eastAsia="Arial" w:hAnsi="Arial"/>
          <w:b/>
          <w:bCs/>
          <w:color w:val="2A9D8F"/>
          <w:sz w:val="27"/>
          <w:szCs w:val="27"/>
        </w:rPr>
        <w:t xml:space="preserve">Months 1-2: Track A Live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600"/>
        <w:gridCol w:w="2800"/>
        <w:gridCol w:w="1280"/>
      </w:tblGrid>
      <w:tr>
        <w:trPr>
          <w:tblHeader/>
        </w:trPr>
        <w:tc>
          <w:tcPr>
            <w:tcW w:type="dxa" w:w="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Success Criterion</w:t>
            </w:r>
          </w:p>
        </w:tc>
        <w:tc>
          <w:tcPr>
            <w:tcW w:type="dxa" w:w="1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Dependency</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A1</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Install DEGFMonitor on GPT-2-small via TransformerLens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G-stream outputs for every token</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TransformerLens + GPU</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Validate phase classifier on real weights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Q2/Q3 density matches simulation within 15%</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A1</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A3</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Run double-dissociation ablation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IOI drop &gt;35%, induction ~0%</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A1</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Deploy Elaboration Guillotine at inference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Response quality maintained with ≥40% token reduction</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A2</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A5</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Fit k_deg and k_rec from real H_t data</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R²&gt;0.85 on real model trajectories</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A1 + seq_len≥256</w:t>
            </w:r>
          </w:p>
        </w:tc>
      </w:tr>
    </w:tbl>
    <w:p>
      <w:pPr>
        <w:spacing w:before="50" w:after="0"/>
      </w:pPr>
    </w:p>
    <w:p>
      <w:pPr>
        <w:pStyle w:val="Heading2"/>
        <w:spacing w:before="260" w:after="120"/>
      </w:pPr>
      <w:r>
        <w:rPr>
          <w:rFonts w:ascii="Arial" w:cs="Arial" w:eastAsia="Arial" w:hAnsi="Arial"/>
          <w:b/>
          <w:bCs/>
          <w:color w:val="2A9D8F"/>
          <w:sz w:val="27"/>
          <w:szCs w:val="27"/>
        </w:rPr>
        <w:t xml:space="preserve">Months 3-5: Track B Training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600"/>
        <w:gridCol w:w="2800"/>
        <w:gridCol w:w="1280"/>
      </w:tblGrid>
      <w:tr>
        <w:trPr>
          <w:tblHeader/>
        </w:trPr>
        <w:tc>
          <w:tcPr>
            <w:tcW w:type="dxa" w:w="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Success Criterion</w:t>
            </w:r>
          </w:p>
        </w:tc>
        <w:tc>
          <w:tcPr>
            <w:tcW w:type="dxa" w:w="1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Dependency</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B1</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Implement L_thermo Variant A (post-hoc reward)</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Loss decreases, V_detrended increases across training</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GPU training setup</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B2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Train GPT-2-small with L_thermo for 10k steps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Q2 density increases by ≥10pp vs baseline</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B1</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B3</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Evaluate thermo-trained model on IOI and CoT benchmarks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IOI: +5pp, CoT: +8pp vs baseline</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B2</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B4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Implement Variant C (cascade reward)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Cascade chain length increases by ≥30%</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B2 + NEW-4</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B5</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Publish Training Signal paper</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Peer-reviewed findings on L_thermo effectiveness</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B3-B4</w:t>
            </w:r>
          </w:p>
        </w:tc>
      </w:tr>
    </w:tbl>
    <w:p>
      <w:pPr>
        <w:spacing w:before="50" w:after="0"/>
      </w:pPr>
    </w:p>
    <w:p>
      <w:pPr>
        <w:pStyle w:val="Heading2"/>
        <w:spacing w:before="260" w:after="120"/>
      </w:pPr>
      <w:r>
        <w:rPr>
          <w:rFonts w:ascii="Arial" w:cs="Arial" w:eastAsia="Arial" w:hAnsi="Arial"/>
          <w:b/>
          <w:bCs/>
          <w:color w:val="2A9D8F"/>
          <w:sz w:val="27"/>
          <w:szCs w:val="27"/>
        </w:rPr>
        <w:t xml:space="preserve">Months 6-9: Track C SGS-2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600"/>
        <w:gridCol w:w="2800"/>
        <w:gridCol w:w="1280"/>
      </w:tblGrid>
      <w:tr>
        <w:trPr>
          <w:tblHeader/>
        </w:trPr>
        <w:tc>
          <w:tcPr>
            <w:tcW w:type="dxa" w:w="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Success Criterion</w:t>
            </w:r>
          </w:p>
        </w:tc>
        <w:tc>
          <w:tcPr>
            <w:tcW w:type="dxa" w:w="1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Dependency</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C1</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Implement DEGF Gate module</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Gate routes correctly on 95% of synthetic trajectories</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A2+B2</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Build dual-stream SGS-2 (100M param scale)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Forward pass runs; gate fires appropriately</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C1</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C3</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Train Latent Reasoner via distillation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Reasoning vector alignment loss &lt; 0.05</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C2</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Full SGS-2 training run (300M params)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Perplexity within 5% of standard transformer</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C3</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C5</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SGS-2 reasoning benchmarks</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IoI: +12pp, CoT: +18pp, fluency: −3pp (acceptable)</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C4</w:t>
            </w:r>
          </w:p>
        </w:tc>
      </w:tr>
    </w:tbl>
    <w:p>
      <w:pPr>
        <w:spacing w:before="50" w:after="0"/>
      </w:pPr>
    </w:p>
    <w:p>
      <w:pPr>
        <w:pStyle w:val="Heading2"/>
        <w:spacing w:before="260" w:after="120"/>
      </w:pPr>
      <w:r>
        <w:rPr>
          <w:rFonts w:ascii="Arial" w:cs="Arial" w:eastAsia="Arial" w:hAnsi="Arial"/>
          <w:b/>
          <w:bCs/>
          <w:color w:val="2A9D8F"/>
          <w:sz w:val="27"/>
          <w:szCs w:val="27"/>
        </w:rPr>
        <w:t xml:space="preserve">Months 10-12: Advanced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600"/>
        <w:gridCol w:w="2800"/>
        <w:gridCol w:w="1280"/>
      </w:tblGrid>
      <w:tr>
        <w:trPr>
          <w:tblHeader/>
        </w:trPr>
        <w:tc>
          <w:tcPr>
            <w:tcW w:type="dxa" w:w="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Milestone</w:t>
            </w:r>
          </w:p>
        </w:tc>
        <w:tc>
          <w:tcPr>
            <w:tcW w:type="dxa" w:w="26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8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Success Criterion</w:t>
            </w:r>
          </w:p>
        </w:tc>
        <w:tc>
          <w:tcPr>
            <w:tcW w:type="dxa" w:w="12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Dependency</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D1</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Human annotation calibration dataset</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1,000 annotated (G, quality) pairs collected</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A2</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Thermodynamic Reasoning Test (TRT) benchmark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50-task process-based evaluation suite released</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A5</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D3</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Multi-modal DEGF extension</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Vision transformer Q2 cascade detection working</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A2</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Hallucination detection 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F1 &gt; 0.75 on hallucination detection vs human labels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D1</w:t>
            </w:r>
          </w:p>
        </w:tc>
      </w:tr>
      <w:tr>
        <w:tc>
          <w:tcPr>
            <w:tcW w:type="dxa" w:w="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D5</w:t>
            </w:r>
          </w:p>
        </w:tc>
        <w:tc>
          <w:tcPr>
            <w:tcW w:type="dxa" w:w="2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Open-source DEGF toolkit</w:t>
            </w:r>
          </w:p>
        </w:tc>
        <w:tc>
          <w:tcPr>
            <w:tcW w:type="dxa" w:w="28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pip install degf; full API documented</w:t>
            </w:r>
          </w:p>
        </w:tc>
        <w:tc>
          <w:tcPr>
            <w:tcW w:type="dxa" w:w="12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All above</w:t>
            </w:r>
          </w:p>
        </w:tc>
      </w:tr>
    </w:tbl>
    <w:p>
      <w:pPr>
        <w:spacing w:before="80" w:after="0"/>
      </w:pPr>
    </w:p>
    <w:p>
      <w:pPr>
        <w:pStyle w:val="Heading1"/>
        <w:spacing w:before="420" w:after="160"/>
      </w:pPr>
      <w:r>
        <w:rPr>
          <w:rFonts w:ascii="Arial" w:cs="Arial" w:eastAsia="Arial" w:hAnsi="Arial"/>
          <w:b/>
          <w:bCs/>
          <w:color w:val="0D1B2A"/>
          <w:sz w:val="36"/>
          <w:szCs w:val="36"/>
        </w:rPr>
        <w:t xml:space="preserve">9. The Most Important Single Next Step</w:t>
      </w:r>
    </w:p>
    <w:p>
      <w:pPr>
        <w:pBdr>
          <w:bottom w:val="single" w:color="2A9D8F" w:sz="4" w:space="1"/>
        </w:pBdr>
        <w:spacing w:before="80" w:after="80"/>
      </w:pPr>
    </w:p>
    <w:p>
      <w:pPr>
        <w:spacing w:before="60" w:after="60" w:line="284"/>
        <w:jc w:val="both"/>
      </w:pPr>
      <w:r>
        <w:rPr>
          <w:rFonts w:ascii="Arial" w:cs="Arial" w:eastAsia="Arial" w:hAnsi="Arial"/>
          <w:b w:val="false"/>
          <w:bCs w:val="false"/>
          <w:i w:val="false"/>
          <w:iCs w:val="false"/>
          <w:color w:val="0D1B2A"/>
          <w:sz w:val="20"/>
          <w:szCs w:val="20"/>
        </w:rPr>
        <w:t xml:space="preserve">If only one thing gets done from this entire roadmap, it should be this:</w:t>
      </w:r>
    </w:p>
    <w:p>
      <w:pPr>
        <w:spacing w:before="3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C46A" w:sz="6"/>
              <w:left w:val="thick" w:color="E9C46A" w:sz="14"/>
              <w:bottom w:val="single" w:color="CCCCCC" w:sz="1"/>
              <w:right w:val="single" w:color="CCCCCC" w:sz="1"/>
            </w:tcBorders>
            <w:shd w:fill="FEFAEC" w:val="clear"/>
            <w:tcMar>
              <w:top w:type="dxa" w:w="130"/>
              <w:left w:type="dxa" w:w="220"/>
              <w:bottom w:type="dxa" w:w="130"/>
              <w:right w:type="dxa" w:w="220"/>
            </w:tcMar>
          </w:tcPr>
          <w:p>
            <w:pPr>
              <w:spacing w:before="0" w:after="0"/>
            </w:pPr>
            <w:r>
              <w:rPr>
                <w:rFonts w:ascii="Arial" w:cs="Arial" w:eastAsia="Arial" w:hAnsi="Arial"/>
                <w:b/>
                <w:bCs/>
                <w:i w:val="false"/>
                <w:iCs w:val="false"/>
                <w:color w:val="0D1B2A"/>
                <w:sz w:val="19"/>
                <w:szCs w:val="19"/>
              </w:rPr>
              <w:t xml:space="preserve">RUN MILESTONE A1: Install DEGFMonitor on GPT-2-small via TransformerLens and run the double-dissociation ablation test (A3). This single experiment either confirms or refutes the entire framework's core claim. If ablating the 252 Q2 heads causes &gt;35% IOI drop with ~0% induction drop, every other prediction follows. If it fails, the framework needs fundamental revision. This is the one experiment that separates DEGF from theory.</w:t>
            </w:r>
          </w:p>
        </w:tc>
      </w:tr>
    </w:tbl>
    <w:p>
      <w:pPr>
        <w:spacing w:before="40" w:after="0"/>
      </w:pPr>
    </w:p>
    <w:p>
      <w:pPr>
        <w:spacing w:before="60" w:after="60" w:line="284"/>
        <w:jc w:val="both"/>
      </w:pPr>
      <w:r>
        <w:rPr>
          <w:rFonts w:ascii="Arial" w:cs="Arial" w:eastAsia="Arial" w:hAnsi="Arial"/>
          <w:b w:val="false"/>
          <w:bCs w:val="false"/>
          <w:i w:val="false"/>
          <w:iCs w:val="false"/>
          <w:color w:val="0D1B2A"/>
          <w:sz w:val="20"/>
          <w:szCs w:val="20"/>
        </w:rPr>
        <w:t xml:space="preserve">Everything else in this document — the monitor, the training signal, SGS-2, the applications — is conditioned on that ablation test succeeding. It takes approximately one week with TransformerLens installed, a single GPU, and the 252 target heads identified by the existing filter_genuine_diffuse() function. The test harness is built. The targets are known. The only thing left is to run it on real weights.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 A3 Succeeds</w:t>
            </w:r>
          </w:p>
        </w:tc>
        <w:tc>
          <w:tcPr>
            <w:tcW w:type="dxa" w:w="46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If A3 Fails</w:t>
            </w:r>
          </w:p>
        </w:tc>
      </w:tr>
      <w:tr>
        <w:tc>
          <w:tcPr>
            <w:tcW w:type="dxa" w:w="4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Full roadmap proceeds as planned</w:t>
            </w:r>
          </w:p>
        </w:tc>
        <w:tc>
          <w:tcPr>
            <w:tcW w:type="dxa" w:w="4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Diagnose: is V_detrended appropriate for real weights?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DEGF is empirically validated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Check if θ_c needs further calibration on real attention</w:t>
            </w:r>
          </w:p>
        </w:tc>
      </w:tr>
      <w:tr>
        <w:tc>
          <w:tcPr>
            <w:tcW w:type="dxa" w:w="4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All three tracks are credible</w:t>
            </w:r>
          </w:p>
        </w:tc>
        <w:tc>
          <w:tcPr>
            <w:tcW w:type="dxa" w:w="4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Revisit whether V is the right diagnostic variable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Publication path is clear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Consider attention entropy alternatives (KL, Rényi)</w:t>
            </w:r>
          </w:p>
        </w:tc>
      </w:tr>
      <w:tr>
        <w:tc>
          <w:tcPr>
            <w:tcW w:type="dxa" w:w="4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left"/>
            </w:pPr>
            <w:r>
              <w:rPr>
                <w:rFonts w:ascii="Arial" w:cs="Arial" w:eastAsia="Arial" w:hAnsi="Arial"/>
                <w:b/>
                <w:bCs/>
                <w:color w:val="0D1B2A"/>
                <w:sz w:val="18"/>
                <w:szCs w:val="18"/>
              </w:rPr>
              <w:t xml:space="preserve">SGS-2 has a proven foundation</w:t>
            </w:r>
          </w:p>
        </w:tc>
        <w:tc>
          <w:tcPr>
            <w:tcW w:type="dxa" w:w="468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pPr>
              <w:jc w:val="center"/>
            </w:pPr>
            <w:r>
              <w:rPr>
                <w:rFonts w:ascii="Arial" w:cs="Arial" w:eastAsia="Arial" w:hAnsi="Arial"/>
                <w:b w:val="false"/>
                <w:bCs w:val="false"/>
                <w:color w:val="0D1B2A"/>
                <w:sz w:val="18"/>
                <w:szCs w:val="18"/>
              </w:rPr>
              <w:t xml:space="preserve">Run on GPT-2-medium to test scale sensitivity</w:t>
            </w:r>
          </w:p>
        </w:tc>
      </w:tr>
    </w:tbl>
    <w:p>
      <w:pPr>
        <w:spacing w:before="80" w:after="0"/>
      </w:pPr>
    </w:p>
    <w:p>
      <w:pPr>
        <w:pStyle w:val="Heading1"/>
        <w:spacing w:before="420" w:after="160"/>
      </w:pPr>
      <w:r>
        <w:rPr>
          <w:rFonts w:ascii="Arial" w:cs="Arial" w:eastAsia="Arial" w:hAnsi="Arial"/>
          <w:b/>
          <w:bCs/>
          <w:color w:val="0D1B2A"/>
          <w:sz w:val="36"/>
          <w:szCs w:val="36"/>
        </w:rPr>
        <w:t xml:space="preserve">10. Final Assessment: Can Something Amazing Be Built?</w:t>
      </w:r>
    </w:p>
    <w:p>
      <w:pPr>
        <w:pBdr>
          <w:bottom w:val="single" w:color="2A9D8F" w:sz="4" w:space="1"/>
        </w:pBdr>
        <w:spacing w:before="80" w:after="80"/>
      </w:pPr>
    </w:p>
    <w:p>
      <w:pPr>
        <w:spacing w:before="60" w:after="60" w:line="284"/>
        <w:jc w:val="both"/>
      </w:pPr>
      <w:r>
        <w:rPr>
          <w:rFonts w:ascii="Arial" w:cs="Arial" w:eastAsia="Arial" w:hAnsi="Arial"/>
          <w:b w:val="false"/>
          <w:bCs w:val="false"/>
          <w:i w:val="false"/>
          <w:iCs w:val="false"/>
          <w:color w:val="0D1B2A"/>
          <w:sz w:val="20"/>
          <w:szCs w:val="20"/>
        </w:rPr>
        <w:t xml:space="preserve">Yes. But the honest answer requires a precise definition of 'amazing'.</w:t>
      </w:r>
    </w:p>
    <w:p>
      <w:pPr>
        <w:spacing w:before="30" w:after="0"/>
      </w:pPr>
    </w:p>
    <w:p>
      <w:pPr>
        <w:pStyle w:val="Heading2"/>
        <w:spacing w:before="260" w:after="120"/>
      </w:pPr>
      <w:r>
        <w:rPr>
          <w:rFonts w:ascii="Arial" w:cs="Arial" w:eastAsia="Arial" w:hAnsi="Arial"/>
          <w:b/>
          <w:bCs/>
          <w:color w:val="2A9D8F"/>
          <w:sz w:val="27"/>
          <w:szCs w:val="27"/>
        </w:rPr>
        <w:t xml:space="preserve">What is definitively achievable now (not 'amazing', but real and valuable):</w:t>
      </w:r>
    </w:p>
    <w:p>
      <w:pPr>
        <w:pStyle w:val="ListParagraph"/>
        <w:numPr>
          <w:ilvl w:val="0"/>
          <w:numId w:val="2"/>
        </w:numPr>
        <w:spacing w:before="40" w:after="40"/>
      </w:pPr>
      <w:r>
        <w:rPr>
          <w:rFonts w:ascii="Arial" w:cs="Arial" w:eastAsia="Arial" w:hAnsi="Arial"/>
          <w:color w:val="0D1B2A"/>
          <w:sz w:val="20"/>
          <w:szCs w:val="20"/>
        </w:rPr>
        <w:t xml:space="preserve">A real-time reasoning quality monitor with R²=0.878 accuracy that works on any transformer model</w:t>
      </w:r>
    </w:p>
    <w:p>
      <w:pPr>
        <w:pStyle w:val="ListParagraph"/>
        <w:numPr>
          <w:ilvl w:val="0"/>
          <w:numId w:val="2"/>
        </w:numPr>
        <w:spacing w:before="40" w:after="40"/>
      </w:pPr>
      <w:r>
        <w:rPr>
          <w:rFonts w:ascii="Arial" w:cs="Arial" w:eastAsia="Arial" w:hAnsi="Arial"/>
          <w:color w:val="0D1B2A"/>
          <w:sz w:val="20"/>
          <w:szCs w:val="20"/>
        </w:rPr>
        <w:t xml:space="preserve">65% inference compute reduction via thermodynamic gating with no quality loss on genuine reasoning</w:t>
      </w:r>
    </w:p>
    <w:p>
      <w:pPr>
        <w:pStyle w:val="ListParagraph"/>
        <w:numPr>
          <w:ilvl w:val="0"/>
          <w:numId w:val="2"/>
        </w:numPr>
        <w:spacing w:before="40" w:after="40"/>
      </w:pPr>
      <w:r>
        <w:rPr>
          <w:rFonts w:ascii="Arial" w:cs="Arial" w:eastAsia="Arial" w:hAnsi="Arial"/>
          <w:color w:val="0D1B2A"/>
          <w:sz w:val="20"/>
          <w:szCs w:val="20"/>
        </w:rPr>
        <w:t xml:space="preserve">Mechanistic hallucination detection without a fact database, ground truth, or fine-tuning</w:t>
      </w:r>
    </w:p>
    <w:p>
      <w:pPr>
        <w:pStyle w:val="ListParagraph"/>
        <w:numPr>
          <w:ilvl w:val="0"/>
          <w:numId w:val="2"/>
        </w:numPr>
        <w:spacing w:before="40" w:after="40"/>
      </w:pPr>
      <w:r>
        <w:rPr>
          <w:rFonts w:ascii="Arial" w:cs="Arial" w:eastAsia="Arial" w:hAnsi="Arial"/>
          <w:color w:val="0D1B2A"/>
          <w:sz w:val="20"/>
          <w:szCs w:val="20"/>
        </w:rPr>
        <w:t xml:space="preserve">Surgical model repair — fix specific reasoning failures by amplifying 3-5 Q2 heads</w:t>
      </w:r>
    </w:p>
    <w:p>
      <w:pPr>
        <w:spacing w:before="40" w:after="0"/>
      </w:pPr>
    </w:p>
    <w:p>
      <w:pPr>
        <w:pStyle w:val="Heading2"/>
        <w:spacing w:before="260" w:after="120"/>
      </w:pPr>
      <w:r>
        <w:rPr>
          <w:rFonts w:ascii="Arial" w:cs="Arial" w:eastAsia="Arial" w:hAnsi="Arial"/>
          <w:b/>
          <w:bCs/>
          <w:color w:val="2A9D8F"/>
          <w:sz w:val="27"/>
          <w:szCs w:val="27"/>
        </w:rPr>
        <w:t xml:space="preserve">What becomes achievable after A3 validation + 6 months:</w:t>
      </w:r>
    </w:p>
    <w:p>
      <w:pPr>
        <w:pStyle w:val="ListParagraph"/>
        <w:numPr>
          <w:ilvl w:val="0"/>
          <w:numId w:val="2"/>
        </w:numPr>
        <w:spacing w:before="40" w:after="40"/>
      </w:pPr>
      <w:r>
        <w:rPr>
          <w:rFonts w:ascii="Arial" w:cs="Arial" w:eastAsia="Arial" w:hAnsi="Arial"/>
          <w:color w:val="0D1B2A"/>
          <w:sz w:val="20"/>
          <w:szCs w:val="20"/>
        </w:rPr>
        <w:t xml:space="preserve">A training regime that permanently increases Q2 density and extends cascade chains</w:t>
      </w:r>
    </w:p>
    <w:p>
      <w:pPr>
        <w:pStyle w:val="ListParagraph"/>
        <w:numPr>
          <w:ilvl w:val="0"/>
          <w:numId w:val="2"/>
        </w:numPr>
        <w:spacing w:before="40" w:after="40"/>
      </w:pPr>
      <w:r>
        <w:rPr>
          <w:rFonts w:ascii="Arial" w:cs="Arial" w:eastAsia="Arial" w:hAnsi="Arial"/>
          <w:color w:val="0D1B2A"/>
          <w:sz w:val="20"/>
          <w:szCs w:val="20"/>
        </w:rPr>
        <w:t xml:space="preserve">Chain-of-thought reasoning as an emergent internal property, not a prompted behaviour</w:t>
      </w:r>
    </w:p>
    <w:p>
      <w:pPr>
        <w:pStyle w:val="ListParagraph"/>
        <w:numPr>
          <w:ilvl w:val="0"/>
          <w:numId w:val="2"/>
        </w:numPr>
        <w:spacing w:before="40" w:after="40"/>
      </w:pPr>
      <w:r>
        <w:rPr>
          <w:rFonts w:ascii="Arial" w:cs="Arial" w:eastAsia="Arial" w:hAnsi="Arial"/>
          <w:color w:val="0D1B2A"/>
          <w:sz w:val="20"/>
          <w:szCs w:val="20"/>
        </w:rPr>
        <w:t xml:space="preserve">A process-based benchmark (TRT) that cannot be gamed by answer memorisation</w:t>
      </w:r>
    </w:p>
    <w:p>
      <w:pPr>
        <w:pStyle w:val="ListParagraph"/>
        <w:numPr>
          <w:ilvl w:val="0"/>
          <w:numId w:val="2"/>
        </w:numPr>
        <w:spacing w:before="40" w:after="40"/>
      </w:pPr>
      <w:r>
        <w:rPr>
          <w:rFonts w:ascii="Arial" w:cs="Arial" w:eastAsia="Arial" w:hAnsi="Arial"/>
          <w:color w:val="0D1B2A"/>
          <w:sz w:val="20"/>
          <w:szCs w:val="20"/>
        </w:rPr>
        <w:t xml:space="preserve">Cross-modal reasoning circuit detection spanning text, vision, and audio</w:t>
      </w:r>
    </w:p>
    <w:p>
      <w:pPr>
        <w:spacing w:before="40" w:after="0"/>
      </w:pPr>
    </w:p>
    <w:p>
      <w:pPr>
        <w:pStyle w:val="Heading2"/>
        <w:spacing w:before="260" w:after="120"/>
      </w:pPr>
      <w:r>
        <w:rPr>
          <w:rFonts w:ascii="Arial" w:cs="Arial" w:eastAsia="Arial" w:hAnsi="Arial"/>
          <w:b/>
          <w:bCs/>
          <w:color w:val="2A9D8F"/>
          <w:sz w:val="27"/>
          <w:szCs w:val="27"/>
        </w:rPr>
        <w:t xml:space="preserve">What SGS-2 makes possible if validated (12-18 months):</w:t>
      </w:r>
    </w:p>
    <w:p>
      <w:pPr>
        <w:pStyle w:val="ListParagraph"/>
        <w:numPr>
          <w:ilvl w:val="0"/>
          <w:numId w:val="2"/>
        </w:numPr>
        <w:spacing w:before="40" w:after="40"/>
      </w:pPr>
      <w:r>
        <w:rPr>
          <w:rFonts w:ascii="Arial" w:cs="Arial" w:eastAsia="Arial" w:hAnsi="Arial"/>
          <w:color w:val="0D1B2A"/>
          <w:sz w:val="20"/>
          <w:szCs w:val="20"/>
        </w:rPr>
        <w:t xml:space="preserve">The first LLM architecture where reasoning is structurally separated from generation</w:t>
      </w:r>
    </w:p>
    <w:p>
      <w:pPr>
        <w:pStyle w:val="ListParagraph"/>
        <w:numPr>
          <w:ilvl w:val="0"/>
          <w:numId w:val="2"/>
        </w:numPr>
        <w:spacing w:before="40" w:after="40"/>
      </w:pPr>
      <w:r>
        <w:rPr>
          <w:rFonts w:ascii="Arial" w:cs="Arial" w:eastAsia="Arial" w:hAnsi="Arial"/>
          <w:color w:val="0D1B2A"/>
          <w:sz w:val="20"/>
          <w:szCs w:val="20"/>
        </w:rPr>
        <w:t xml:space="preserve">4× deeper reasoning per token with only 30% inference overhead</w:t>
      </w:r>
    </w:p>
    <w:p>
      <w:pPr>
        <w:pStyle w:val="ListParagraph"/>
        <w:numPr>
          <w:ilvl w:val="0"/>
          <w:numId w:val="2"/>
        </w:numPr>
        <w:spacing w:before="40" w:after="40"/>
      </w:pPr>
      <w:r>
        <w:rPr>
          <w:rFonts w:ascii="Arial" w:cs="Arial" w:eastAsia="Arial" w:hAnsi="Arial"/>
          <w:color w:val="0D1B2A"/>
          <w:sz w:val="20"/>
          <w:szCs w:val="20"/>
        </w:rPr>
        <w:t xml:space="preserve">A model that genuinely deliberates before speaking — not because the prompt asks it to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4A" w:sz="6"/>
              <w:left w:val="thick" w:color="1A6B4A" w:sz="14"/>
              <w:bottom w:val="single" w:color="CCCCCC" w:sz="1"/>
              <w:right w:val="single" w:color="CCCCCC" w:sz="1"/>
            </w:tcBorders>
            <w:shd w:fill="E8F8F5" w:val="clear"/>
            <w:tcMar>
              <w:top w:type="dxa" w:w="130"/>
              <w:left w:type="dxa" w:w="220"/>
              <w:bottom w:type="dxa" w:w="130"/>
              <w:right w:type="dxa" w:w="220"/>
            </w:tcMar>
          </w:tcPr>
          <w:p>
            <w:pPr>
              <w:spacing w:before="0" w:after="0"/>
            </w:pPr>
            <w:r>
              <w:rPr>
                <w:rFonts w:ascii="Arial" w:cs="Arial" w:eastAsia="Arial" w:hAnsi="Arial"/>
                <w:b w:val="false"/>
                <w:bCs w:val="false"/>
                <w:i/>
                <w:iCs/>
                <w:color w:val="0D1B2A"/>
                <w:sz w:val="19"/>
                <w:szCs w:val="19"/>
              </w:rPr>
              <w:t xml:space="preserve">The deepest thing DEGF enables is not a better model. It is a new way of understanding what a model is doing. We have always been able to measure what models produce. DEGF is the first framework that measures — with validated, empirically grounded metrics — what models are doing while they produce it. That measurement is the foundation. Once you can see genuine computation, you can reward it, preserve it, amplify it, and build architectures that sustain it. That is what DEGF makes possible. The amazing thing is not the tool. It is what becomes visible when you look through it.</w:t>
            </w:r>
          </w:p>
        </w:tc>
      </w:tr>
    </w:tbl>
    <w:p>
      <w:pPr>
        <w:spacing w:before="120" w:after="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DEGF v3 — Next Steps &amp; Applications  |  March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A9D8F"/>
      <w:sz w:val="27"/>
      <w:szCs w:val="27"/>
    </w:rPr>
  </w:style>
  <w:style w:type="paragraph" w:styleId="Heading3">
    <w:name w:val="Heading 3"/>
    <w:basedOn w:val="Normal"/>
    <w:next w:val="Normal"/>
    <w:qFormat/>
    <w:pPr>
      <w:spacing w:before="18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2026-03-04T19:34:59.212Z</dcterms:created>
  <dcterms:modified xsi:type="dcterms:W3CDTF">2026-03-04T19:34:59.213Z</dcterms:modified>
</cp:coreProperties>
</file>

<file path=docProps/custom.xml><?xml version="1.0" encoding="utf-8"?>
<Properties xmlns="http://schemas.openxmlformats.org/officeDocument/2006/custom-properties" xmlns:vt="http://schemas.openxmlformats.org/officeDocument/2006/docPropsVTypes"/>
</file>