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B00020"/>
          <w:sz w:val="22"/>
          <w:szCs w:val="22"/>
        </w:rPr>
        <w:t xml:space="preserve">DRAFT - unverified. Do not cite or circulate.</w:t>
      </w:r>
    </w:p>
    <w:p>
      <w:pPr>
        <w:spacing w:after="160"/>
        <w:jc w:val="center"/>
      </w:pPr>
      <w:r>
        <w:rPr>
          <w:rFonts w:ascii="Arial" w:cs="Arial" w:eastAsia="Arial" w:hAnsi="Arial"/>
          <w:b/>
          <w:bCs/>
          <w:sz w:val="32"/>
          <w:szCs w:val="32"/>
        </w:rPr>
        <w:t xml:space="preserve">Can NASA's open OPERA DISP-S1 InSAR product screen open-pit walls? A reproducible two-site validation against documented wall failures</w:t>
      </w:r>
    </w:p>
    <w:p>
      <w:pPr>
        <w:jc w:val="center"/>
      </w:pPr>
      <w:r>
        <w:rPr>
          <w:rFonts w:ascii="Arial" w:cs="Arial" w:eastAsia="Arial" w:hAnsi="Arial"/>
          <w:sz w:val="22"/>
          <w:szCs w:val="22"/>
        </w:rPr>
        <w:t xml:space="preserve">Lukman Alabede</w:t>
      </w:r>
    </w:p>
    <w:p>
      <w:pPr>
        <w:spacing w:after="240"/>
        <w:jc w:val="center"/>
      </w:pPr>
      <w:r>
        <w:rPr>
          <w:rFonts w:ascii="Arial" w:cs="Arial" w:eastAsia="Arial" w:hAnsi="Arial"/>
          <w:color w:val="52514E"/>
          <w:sz w:val="18"/>
          <w:szCs w:val="18"/>
        </w:rPr>
        <w:t xml:space="preserve">Lukman Alabede: Independent Researcher; ORCID 0009-0008-7769-7455; lukmanademola081@gmail.com</w:t>
      </w:r>
    </w:p>
    <w:p>
      <w:pPr>
        <w:pStyle w:val="Heading1"/>
        <w:spacing w:after="120" w:before="240"/>
      </w:pPr>
      <w:r>
        <w:rPr>
          <w:rFonts w:ascii="Arial" w:cs="Arial" w:eastAsia="Arial" w:hAnsi="Arial"/>
          <w:b/>
          <w:bCs/>
          <w:sz w:val="28"/>
          <w:szCs w:val="28"/>
        </w:rPr>
        <w:t xml:space="preserve">Abstract</w:t>
      </w:r>
    </w:p>
    <w:p>
      <w:pPr>
        <w:spacing w:after="140" w:line="300"/>
      </w:pPr>
      <w:r>
        <w:rPr>
          <w:rFonts w:ascii="Arial" w:cs="Arial" w:eastAsia="Arial" w:hAnsi="Arial"/>
          <w:sz w:val="22"/>
          <w:szCs w:val="22"/>
        </w:rPr>
        <w:t xml:space="preserve">[VERIFY abstract pending the real-data run; it is generated from paper/stats.json and then rewritten by the author]</w:t>
      </w:r>
    </w:p>
    <w:p>
      <w:pPr>
        <w:pStyle w:val="Heading1"/>
        <w:spacing w:after="120" w:before="240"/>
      </w:pPr>
      <w:r>
        <w:rPr>
          <w:rFonts w:ascii="Arial" w:cs="Arial" w:eastAsia="Arial" w:hAnsi="Arial"/>
          <w:b/>
          <w:bCs/>
          <w:sz w:val="28"/>
          <w:szCs w:val="28"/>
        </w:rPr>
        <w:t xml:space="preserve">1. Introduction</w:t>
      </w:r>
    </w:p>
    <w:p>
      <w:pPr>
        <w:spacing w:after="140" w:line="300"/>
      </w:pPr>
      <w:r>
        <w:rPr>
          <w:rFonts w:ascii="Arial" w:cs="Arial" w:eastAsia="Arial" w:hAnsi="Arial"/>
          <w:sz w:val="22"/>
          <w:szCs w:val="22"/>
        </w:rPr>
        <w:t xml:space="preserve">Open-pit wall failures endanger workers and equipment and interrupt production. Large operators watch their walls with ground-based radar, prisms and commercial satellite InSAR, but those records are private. Regulators, smaller mines, nearby communities and researchers therefore have no shared, public evidence of whether free satellite data can see wall movement, or where it cannot.</w:t>
      </w:r>
    </w:p>
    <w:p>
      <w:pPr>
        <w:spacing w:after="140" w:line="300"/>
      </w:pPr>
      <w:r>
        <w:rPr>
          <w:rFonts w:ascii="Arial" w:cs="Arial" w:eastAsia="Arial" w:hAnsi="Arial"/>
          <w:sz w:val="22"/>
          <w:szCs w:val="22"/>
        </w:rPr>
        <w:t xml:space="preserve">Retrospective studies show that satellite InSAR can record accelerating movement before large slope failures, including an open-pit slope (Carlà et al., 2019), and long-running weak signals before the 2013 Manefay slide at Bingham Canyon (Gaida et al., 2019). A recent back-analysis of two wall failures at Bald Mountain Mine, Nevada, used commercially processed Sentinel-1 data and found precursory movement months before the 2023 Saga Pit failure (Bourgeois et al., 2024). These studies used custom processing. Since 2025, NASA's OPERA project has distributed a standardized displacement product, DISP-S1, over the United States and much of North America at 30 m posting from mid-2016, free of charge.</w:t>
      </w:r>
    </w:p>
    <w:p>
      <w:pPr>
        <w:spacing w:after="140" w:line="300"/>
      </w:pPr>
      <w:r>
        <w:rPr>
          <w:rFonts w:ascii="Arial" w:cs="Arial" w:eastAsia="Arial" w:hAnsi="Arial"/>
          <w:sz w:val="22"/>
          <w:szCs w:val="22"/>
        </w:rPr>
        <w:t xml:space="preserve">We ask whether that free, standardized product can serve as a first-pass screen for pit walls: does it show movement before documented failures, how often does it raise alerts without a reported failure, and which walls can it not see at all? We answer with a fully reproducible pipeline and report the failure modes as carefully as the successes.</w:t>
      </w:r>
    </w:p>
    <w:p>
      <w:pPr>
        <w:pStyle w:val="Heading1"/>
        <w:spacing w:after="120" w:before="240"/>
      </w:pPr>
      <w:r>
        <w:rPr>
          <w:rFonts w:ascii="Arial" w:cs="Arial" w:eastAsia="Arial" w:hAnsi="Arial"/>
          <w:b/>
          <w:bCs/>
          <w:sz w:val="28"/>
          <w:szCs w:val="28"/>
        </w:rPr>
        <w:t xml:space="preserve">2. Data</w:t>
      </w:r>
    </w:p>
    <w:p>
      <w:pPr>
        <w:pStyle w:val="ListParagraph"/>
        <w:numPr>
          <w:ilvl w:val="0"/>
          <w:numId w:val="2"/>
        </w:numPr>
        <w:spacing w:after="80"/>
      </w:pPr>
      <w:r>
        <w:rPr>
          <w:rFonts w:ascii="Arial" w:cs="Arial" w:eastAsia="Arial" w:hAnsi="Arial"/>
          <w:sz w:val="22"/>
          <w:szCs w:val="22"/>
        </w:rPr>
        <w:t xml:space="preserve">OPERA L3 DISP-S1 v1 (NASA JPL; distributed by the ASF DAAC): line-of-sight (LOS) displacement from Sentinel-1 interferometric wide-swath data, HDF5 granules per frame on a 30 m UTM grid, each relative to a reference date that resets periodically [VERIFY dataset DOI and version from the ASF landing page].</w:t>
      </w:r>
    </w:p>
    <w:p>
      <w:pPr>
        <w:pStyle w:val="ListParagraph"/>
        <w:numPr>
          <w:ilvl w:val="0"/>
          <w:numId w:val="2"/>
        </w:numPr>
        <w:spacing w:after="80"/>
      </w:pPr>
      <w:r>
        <w:rPr>
          <w:rFonts w:ascii="Arial" w:cs="Arial" w:eastAsia="Arial" w:hAnsi="Arial"/>
          <w:sz w:val="22"/>
          <w:szCs w:val="22"/>
        </w:rPr>
        <w:t xml:space="preserve">OPERA L3 DISP-S1-STATIC v1: per-frame LOS unit vectors and a layover/shadow mask.</w:t>
      </w:r>
    </w:p>
    <w:p>
      <w:pPr>
        <w:pStyle w:val="ListParagraph"/>
        <w:numPr>
          <w:ilvl w:val="0"/>
          <w:numId w:val="2"/>
        </w:numPr>
        <w:spacing w:after="80"/>
      </w:pPr>
      <w:r>
        <w:rPr>
          <w:rFonts w:ascii="Arial" w:cs="Arial" w:eastAsia="Arial" w:hAnsi="Arial"/>
          <w:sz w:val="22"/>
          <w:szCs w:val="22"/>
        </w:rPr>
        <w:t xml:space="preserve">Copernicus DEM GLO-30 (ESA/Airbus; AWS Open Data): 30 m elevation used to outline walls and candidate stable ground automatically. Its acquisitions date from about 2011 to 2015.</w:t>
      </w:r>
    </w:p>
    <w:p>
      <w:pPr>
        <w:pStyle w:val="ListParagraph"/>
        <w:numPr>
          <w:ilvl w:val="0"/>
          <w:numId w:val="2"/>
        </w:numPr>
        <w:spacing w:after="80"/>
      </w:pPr>
      <w:r>
        <w:rPr>
          <w:rFonts w:ascii="Arial" w:cs="Arial" w:eastAsia="Arial" w:hAnsi="Arial"/>
          <w:sz w:val="22"/>
          <w:szCs w:val="22"/>
        </w:rPr>
        <w:t xml:space="preserve">Failure events: dated wall failures from public records, each with a source link (Table 1). Pits operated by the author's employer are excluded by a private filter enforced on every run.</w:t>
      </w:r>
    </w:p>
    <w:p>
      <w:pPr>
        <w:spacing w:after="140" w:line="300"/>
      </w:pPr>
      <w:r>
        <w:rPr>
          <w:rFonts w:ascii="Arial" w:cs="Arial" w:eastAsia="Arial" w:hAnsi="Arial"/>
          <w:b/>
          <w:bCs/>
          <w:sz w:val="20"/>
          <w:szCs w:val="20"/>
        </w:rPr>
        <w:t xml:space="preserve">Table 1. </w:t>
      </w:r>
      <w:r>
        <w:rPr>
          <w:rFonts w:ascii="Arial" w:cs="Arial" w:eastAsia="Arial" w:hAnsi="Arial"/>
          <w:sz w:val="20"/>
          <w:szCs w:val="20"/>
        </w:rPr>
        <w:t xml:space="preserve">Documented wall failures used for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200"/>
        <w:gridCol w:w="1100"/>
        <w:gridCol w:w="1300"/>
        <w:gridCol w:w="3160"/>
      </w:tblGrid>
      <w:tr>
        <w:tc>
          <w:tcPr>
            <w:tcW w:type="dxa" w:w="1500"/>
            <w:tcBorders>
              <w:top w:val="single" w:color="BBBBBB" w:sz="4"/>
              <w:left w:val="single" w:color="BBBBBB" w:sz="4"/>
              <w:bottom w:val="single" w:color="BBBBBB" w:sz="4"/>
              <w:right w:val="single" w:color="BBBBBB" w:sz="4"/>
            </w:tcBorders>
            <w:shd w:fill="EEEEEE" w:color="auto" w:val="clear"/>
            <w:tcMar>
              <w:top w:type="dxa" w:w="60"/>
              <w:left w:type="dxa" w:w="100"/>
              <w:bottom w:type="dxa" w:w="60"/>
              <w:right w:type="dxa" w:w="100"/>
            </w:tcMar>
          </w:tcPr>
          <w:p>
            <w:r>
              <w:rPr>
                <w:rFonts w:ascii="Arial" w:cs="Arial" w:eastAsia="Arial" w:hAnsi="Arial"/>
                <w:b/>
                <w:bCs/>
                <w:sz w:val="18"/>
                <w:szCs w:val="18"/>
              </w:rPr>
              <w:t xml:space="preserve">Event</w:t>
            </w:r>
          </w:p>
        </w:tc>
        <w:tc>
          <w:tcPr>
            <w:tcW w:type="dxa" w:w="1100"/>
            <w:tcBorders>
              <w:top w:val="single" w:color="BBBBBB" w:sz="4"/>
              <w:left w:val="single" w:color="BBBBBB" w:sz="4"/>
              <w:bottom w:val="single" w:color="BBBBBB" w:sz="4"/>
              <w:right w:val="single" w:color="BBBBBB" w:sz="4"/>
            </w:tcBorders>
            <w:shd w:fill="EEEEEE" w:color="auto" w:val="clear"/>
            <w:tcMar>
              <w:top w:type="dxa" w:w="60"/>
              <w:left w:type="dxa" w:w="100"/>
              <w:bottom w:type="dxa" w:w="60"/>
              <w:right w:type="dxa" w:w="100"/>
            </w:tcMar>
          </w:tcPr>
          <w:p>
            <w:r>
              <w:rPr>
                <w:rFonts w:ascii="Arial" w:cs="Arial" w:eastAsia="Arial" w:hAnsi="Arial"/>
                <w:b/>
                <w:bCs/>
                <w:sz w:val="18"/>
                <w:szCs w:val="18"/>
              </w:rPr>
              <w:t xml:space="preserve">Site</w:t>
            </w:r>
          </w:p>
        </w:tc>
        <w:tc>
          <w:tcPr>
            <w:tcW w:type="dxa" w:w="1200"/>
            <w:tcBorders>
              <w:top w:val="single" w:color="BBBBBB" w:sz="4"/>
              <w:left w:val="single" w:color="BBBBBB" w:sz="4"/>
              <w:bottom w:val="single" w:color="BBBBBB" w:sz="4"/>
              <w:right w:val="single" w:color="BBBBBB" w:sz="4"/>
            </w:tcBorders>
            <w:shd w:fill="EEEEEE" w:color="auto" w:val="clear"/>
            <w:tcMar>
              <w:top w:type="dxa" w:w="60"/>
              <w:left w:type="dxa" w:w="100"/>
              <w:bottom w:type="dxa" w:w="60"/>
              <w:right w:type="dxa" w:w="100"/>
            </w:tcMar>
          </w:tcPr>
          <w:p>
            <w:r>
              <w:rPr>
                <w:rFonts w:ascii="Arial" w:cs="Arial" w:eastAsia="Arial" w:hAnsi="Arial"/>
                <w:b/>
                <w:bCs/>
                <w:sz w:val="18"/>
                <w:szCs w:val="18"/>
              </w:rPr>
              <w:t xml:space="preserve">Wall (reported)</w:t>
            </w:r>
          </w:p>
        </w:tc>
        <w:tc>
          <w:tcPr>
            <w:tcW w:type="dxa" w:w="1100"/>
            <w:tcBorders>
              <w:top w:val="single" w:color="BBBBBB" w:sz="4"/>
              <w:left w:val="single" w:color="BBBBBB" w:sz="4"/>
              <w:bottom w:val="single" w:color="BBBBBB" w:sz="4"/>
              <w:right w:val="single" w:color="BBBBBB" w:sz="4"/>
            </w:tcBorders>
            <w:shd w:fill="EEEEEE" w:color="auto" w:val="clear"/>
            <w:tcMar>
              <w:top w:type="dxa" w:w="60"/>
              <w:left w:type="dxa" w:w="100"/>
              <w:bottom w:type="dxa" w:w="60"/>
              <w:right w:type="dxa" w:w="100"/>
            </w:tcMar>
          </w:tcPr>
          <w:p>
            <w:r>
              <w:rPr>
                <w:rFonts w:ascii="Arial" w:cs="Arial" w:eastAsia="Arial" w:hAnsi="Arial"/>
                <w:b/>
                <w:bCs/>
                <w:sz w:val="18"/>
                <w:szCs w:val="18"/>
              </w:rPr>
              <w:t xml:space="preserve">Date</w:t>
            </w:r>
          </w:p>
        </w:tc>
        <w:tc>
          <w:tcPr>
            <w:tcW w:type="dxa" w:w="1300"/>
            <w:tcBorders>
              <w:top w:val="single" w:color="BBBBBB" w:sz="4"/>
              <w:left w:val="single" w:color="BBBBBB" w:sz="4"/>
              <w:bottom w:val="single" w:color="BBBBBB" w:sz="4"/>
              <w:right w:val="single" w:color="BBBBBB" w:sz="4"/>
            </w:tcBorders>
            <w:shd w:fill="EEEEEE" w:color="auto" w:val="clear"/>
            <w:tcMar>
              <w:top w:type="dxa" w:w="60"/>
              <w:left w:type="dxa" w:w="100"/>
              <w:bottom w:type="dxa" w:w="60"/>
              <w:right w:type="dxa" w:w="100"/>
            </w:tcMar>
          </w:tcPr>
          <w:p>
            <w:r>
              <w:rPr>
                <w:rFonts w:ascii="Arial" w:cs="Arial" w:eastAsia="Arial" w:hAnsi="Arial"/>
                <w:b/>
                <w:bCs/>
                <w:sz w:val="18"/>
                <w:szCs w:val="18"/>
              </w:rPr>
              <w:t xml:space="preserve">Size</w:t>
            </w:r>
          </w:p>
        </w:tc>
        <w:tc>
          <w:tcPr>
            <w:tcW w:type="dxa" w:w="3160"/>
            <w:tcBorders>
              <w:top w:val="single" w:color="BBBBBB" w:sz="4"/>
              <w:left w:val="single" w:color="BBBBBB" w:sz="4"/>
              <w:bottom w:val="single" w:color="BBBBBB" w:sz="4"/>
              <w:right w:val="single" w:color="BBBBBB" w:sz="4"/>
            </w:tcBorders>
            <w:shd w:fill="EEEEEE" w:color="auto" w:val="clear"/>
            <w:tcMar>
              <w:top w:type="dxa" w:w="60"/>
              <w:left w:type="dxa" w:w="100"/>
              <w:bottom w:type="dxa" w:w="60"/>
              <w:right w:type="dxa" w:w="100"/>
            </w:tcMar>
          </w:tcPr>
          <w:p>
            <w:r>
              <w:rPr>
                <w:rFonts w:ascii="Arial" w:cs="Arial" w:eastAsia="Arial" w:hAnsi="Arial"/>
                <w:b/>
                <w:bCs/>
                <w:sz w:val="18"/>
                <w:szCs w:val="18"/>
              </w:rPr>
              <w:t xml:space="preserve">Source</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CON-2022-11-01</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continental</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D_East</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2022-11-01</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about 1 million tons</w:t>
            </w:r>
          </w:p>
        </w:tc>
        <w:tc>
          <w:tcPr>
            <w:tcW w:type="dxa" w:w="3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Montana DEQ Hard Rock Mining Bureau field inspection report (inspected 2022-11-22)</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BM-2023-01-20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baldmountain</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Saga_N</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2023-01-20</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not reported</w:t>
            </w:r>
          </w:p>
        </w:tc>
        <w:tc>
          <w:tcPr>
            <w:tcW w:type="dxa" w:w="3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NIOSH / Bourgeois et al. 2024, Slope Stability 2024 proceedings</w:t>
            </w:r>
          </w:p>
        </w:tc>
      </w:tr>
    </w:tbl>
    <w:p>
      <w:pPr>
        <w:spacing w:after="140" w:line="300"/>
      </w:pPr>
      <w:r>
        <w:rPr>
          <w:rFonts w:ascii="Arial" w:cs="Arial" w:eastAsia="Arial" w:hAnsi="Arial"/>
          <w:sz w:val="22"/>
          <w:szCs w:val="22"/>
        </w:rPr>
        <w:t xml:space="preserve"/>
      </w:r>
    </w:p>
    <w:p>
      <w:pPr>
        <w:pStyle w:val="Heading1"/>
        <w:spacing w:after="120" w:before="240"/>
      </w:pPr>
      <w:r>
        <w:rPr>
          <w:rFonts w:ascii="Arial" w:cs="Arial" w:eastAsia="Arial" w:hAnsi="Arial"/>
          <w:b/>
          <w:bCs/>
          <w:sz w:val="28"/>
          <w:szCs w:val="28"/>
        </w:rPr>
        <w:t xml:space="preserve">3. Methods</w:t>
      </w:r>
    </w:p>
    <w:p>
      <w:pPr>
        <w:pStyle w:val="Heading2"/>
        <w:spacing w:after="120" w:before="240"/>
      </w:pPr>
      <w:r>
        <w:rPr>
          <w:rFonts w:ascii="Arial" w:cs="Arial" w:eastAsia="Arial" w:hAnsi="Arial"/>
          <w:b/>
          <w:bCs/>
          <w:sz w:val="24"/>
          <w:szCs w:val="24"/>
        </w:rPr>
        <w:t xml:space="preserve">3.1 Time series</w:t>
      </w:r>
    </w:p>
    <w:p>
      <w:pPr>
        <w:spacing w:after="140" w:line="300"/>
      </w:pPr>
      <w:r>
        <w:rPr>
          <w:rFonts w:ascii="Arial" w:cs="Arial" w:eastAsia="Arial" w:hAnsi="Arial"/>
          <w:sz w:val="22"/>
          <w:szCs w:val="22"/>
        </w:rPr>
        <w:t xml:space="preserve">For each site and frame, granules are cropped to the site box and chained into one cumulative LOS series per pixel: a granule giving displacement from its reference date r to secondary date s is placed at D(s) = D(r) + d, with D at the earliest reference set to zero. A missing link starts a new segment, and velocities are never fitted across segments. Pixels are kept when temporal coherence is at least 0.6 and OPERA's recommended mask is set. Each date is referenced to the median of valid stable-ground pixels; dates with fewer than 20 such pixels are dropped. Automatic stable ground is gently sloping ground (at most 10 degrees) in a ring outside the pit, reduced to the 50% of candidates with the smallest whole-record trend.</w:t>
      </w:r>
    </w:p>
    <w:p>
      <w:pPr>
        <w:pStyle w:val="Heading2"/>
        <w:spacing w:after="120" w:before="240"/>
      </w:pPr>
      <w:r>
        <w:rPr>
          <w:rFonts w:ascii="Arial" w:cs="Arial" w:eastAsia="Arial" w:hAnsi="Arial"/>
          <w:b/>
          <w:bCs/>
          <w:sz w:val="24"/>
          <w:szCs w:val="24"/>
        </w:rPr>
        <w:t xml:space="preserve">3.2 Walls</w:t>
      </w:r>
    </w:p>
    <w:p>
      <w:pPr>
        <w:spacing w:after="140" w:line="300"/>
      </w:pPr>
      <w:r>
        <w:rPr>
          <w:rFonts w:ascii="Arial" w:cs="Arial" w:eastAsia="Arial" w:hAnsi="Arial"/>
          <w:sz w:val="22"/>
          <w:szCs w:val="22"/>
        </w:rPr>
        <w:t xml:space="preserve">Wall pixels are DEM pixels steeper than 25 degrees within a search radius of the pit centre, grouped by facing direction (8 sectors) and by side of the pit. Where no pit centre is known, closed depressions more than 40 m below a 2.5 km median-smoothed surface are taken as pits. Reported walls are mapped to these sections by name (for example, the D East highwall of the Continental Pit is the west-facing section on the east side). Wall pixels in layover or shadow are removed.</w:t>
      </w:r>
    </w:p>
    <w:p>
      <w:pPr>
        <w:pStyle w:val="Heading2"/>
        <w:spacing w:after="120" w:before="240"/>
      </w:pPr>
      <w:r>
        <w:rPr>
          <w:rFonts w:ascii="Arial" w:cs="Arial" w:eastAsia="Arial" w:hAnsi="Arial"/>
          <w:b/>
          <w:bCs/>
          <w:sz w:val="24"/>
          <w:szCs w:val="24"/>
        </w:rPr>
        <w:t xml:space="preserve">3.3 Alert rule</w:t>
      </w:r>
    </w:p>
    <w:p>
      <w:pPr>
        <w:spacing w:after="140" w:line="300"/>
      </w:pPr>
      <w:r>
        <w:rPr>
          <w:rFonts w:ascii="Arial" w:cs="Arial" w:eastAsia="Arial" w:hAnsi="Arial"/>
          <w:sz w:val="22"/>
          <w:szCs w:val="22"/>
        </w:rPr>
        <w:t xml:space="preserve">For every date, LOS velocity is fitted by least squares over the trailing 72 days (at least 4 dates). Noise is the robust standard deviation (1.4826 x median absolute deviation) of stable-ground velocities on the same date. A wall pixel exceeds the threshold when its speed is above the larger of 3 x noise and 2 cm/yr. An alert is raised when a connected patch of at least 3 such pixels appears on 2 consecutive dates.</w:t>
      </w:r>
    </w:p>
    <w:p>
      <w:pPr>
        <w:pStyle w:val="Heading2"/>
        <w:spacing w:after="120" w:before="240"/>
      </w:pPr>
      <w:r>
        <w:rPr>
          <w:rFonts w:ascii="Arial" w:cs="Arial" w:eastAsia="Arial" w:hAnsi="Arial"/>
          <w:b/>
          <w:bCs/>
          <w:sz w:val="24"/>
          <w:szCs w:val="24"/>
        </w:rPr>
        <w:t xml:space="preserve">3.4 Validation</w:t>
      </w:r>
    </w:p>
    <w:p>
      <w:pPr>
        <w:spacing w:after="140" w:line="300"/>
      </w:pPr>
      <w:r>
        <w:rPr>
          <w:rFonts w:ascii="Arial" w:cs="Arial" w:eastAsia="Arial" w:hAnsi="Arial"/>
          <w:sz w:val="22"/>
          <w:szCs w:val="22"/>
        </w:rPr>
        <w:t xml:space="preserve">Each failure is classed as warned (an alert raised within 180 days before it), detected after (raised up to 30 days after), missed (wall observable, no alert), or not observable (fewer than 4 usable dates on that wall in the 180 days before). With two satellite tracks, the better outcome counts. Warning rates carry Wilson 95% intervals. Alerts with no failure on record are reported as "alerts without a reported event", not false alarms, because public failure records are incomplete. Wall visibility is reported as the fraction of wall pixels that are geometrically visible and coherent on at least 50% of dates, and as the sensitivity of the LOS to downslope motion. The fastest LOS motion one revisit can record without phase ambiguity, one quarter wavelength per interval, is reported per track.</w:t>
      </w:r>
    </w:p>
    <w:p>
      <w:pPr>
        <w:pStyle w:val="Heading1"/>
        <w:spacing w:after="120" w:before="240"/>
      </w:pPr>
      <w:r>
        <w:rPr>
          <w:rFonts w:ascii="Arial" w:cs="Arial" w:eastAsia="Arial" w:hAnsi="Arial"/>
          <w:b/>
          <w:bCs/>
          <w:sz w:val="28"/>
          <w:szCs w:val="28"/>
        </w:rPr>
        <w:t xml:space="preserve">4. Results</w:t>
      </w:r>
    </w:p>
    <w:p>
      <w:pPr>
        <w:spacing w:after="140" w:line="300"/>
      </w:pPr>
      <w:r>
        <w:rPr>
          <w:rFonts w:ascii="Arial" w:cs="Arial" w:eastAsia="Arial" w:hAnsi="Arial"/>
          <w:sz w:val="22"/>
          <w:szCs w:val="22"/>
        </w:rPr>
        <w:t xml:space="preserve">[VERIFY results pending the real-data run]</w:t>
      </w:r>
    </w:p>
    <w:p>
      <w:pPr>
        <w:pStyle w:val="Heading1"/>
        <w:spacing w:after="120" w:before="240"/>
      </w:pPr>
      <w:r>
        <w:rPr>
          <w:rFonts w:ascii="Arial" w:cs="Arial" w:eastAsia="Arial" w:hAnsi="Arial"/>
          <w:b/>
          <w:bCs/>
          <w:sz w:val="28"/>
          <w:szCs w:val="28"/>
        </w:rPr>
        <w:t xml:space="preserve">5. Discussion</w:t>
      </w:r>
    </w:p>
    <w:p>
      <w:pPr>
        <w:spacing w:after="140" w:line="300"/>
      </w:pPr>
      <w:r>
        <w:rPr>
          <w:rFonts w:ascii="Arial" w:cs="Arial" w:eastAsia="Arial" w:hAnsi="Arial"/>
          <w:sz w:val="22"/>
          <w:szCs w:val="22"/>
        </w:rPr>
        <w:t xml:space="preserve">[VERIFY author to write: what the results mean for screening pit walls with free data; how they compare with the commercial back-analysis at Bald Mountain; where the free product fails and why; what a regulator or smaller operator could do with it]</w:t>
      </w:r>
    </w:p>
    <w:p>
      <w:pPr>
        <w:pStyle w:val="Heading1"/>
        <w:spacing w:after="120" w:before="240"/>
      </w:pPr>
      <w:r>
        <w:rPr>
          <w:rFonts w:ascii="Arial" w:cs="Arial" w:eastAsia="Arial" w:hAnsi="Arial"/>
          <w:b/>
          <w:bCs/>
          <w:sz w:val="28"/>
          <w:szCs w:val="28"/>
        </w:rPr>
        <w:t xml:space="preserve">6. Limitations</w:t>
      </w:r>
    </w:p>
    <w:p>
      <w:pPr>
        <w:pStyle w:val="ListParagraph"/>
        <w:numPr>
          <w:ilvl w:val="0"/>
          <w:numId w:val="3"/>
        </w:numPr>
        <w:spacing w:after="80"/>
      </w:pPr>
      <w:r>
        <w:rPr>
          <w:rFonts w:ascii="Arial" w:cs="Arial" w:eastAsia="Arial" w:hAnsi="Arial"/>
          <w:sz w:val="22"/>
          <w:szCs w:val="22"/>
        </w:rPr>
        <w:t xml:space="preserve">Line-of-sight only. The satellite measures movement toward or away from itself, along a slanted line. A wall moving sideways to that line shows little or no signal even if it moves fast. wall_coverage.csv reports this as los_sensitivity (0 = blind to downslope motion, 1 = fully sensitive) when wall aspect and slope are given.</w:t>
      </w:r>
    </w:p>
    <w:p>
      <w:pPr>
        <w:pStyle w:val="ListParagraph"/>
        <w:numPr>
          <w:ilvl w:val="0"/>
          <w:numId w:val="3"/>
        </w:numPr>
        <w:spacing w:after="80"/>
      </w:pPr>
      <w:r>
        <w:rPr>
          <w:rFonts w:ascii="Arial" w:cs="Arial" w:eastAsia="Arial" w:hAnsi="Arial"/>
          <w:sz w:val="22"/>
          <w:szCs w:val="22"/>
        </w:rPr>
        <w:t xml:space="preserve">Steep walls can be hidden. Walls facing away from the satellite at angles steeper than its viewing angle fall in radar shadow; walls facing toward it can be squashed (layover). OPERA's STATIC mask marks these; such walls are "not observable", not "missed".</w:t>
      </w:r>
    </w:p>
    <w:p>
      <w:pPr>
        <w:pStyle w:val="ListParagraph"/>
        <w:numPr>
          <w:ilvl w:val="0"/>
          <w:numId w:val="3"/>
        </w:numPr>
        <w:spacing w:after="80"/>
      </w:pPr>
      <w:r>
        <w:rPr>
          <w:rFonts w:ascii="Arial" w:cs="Arial" w:eastAsia="Arial" w:hAnsi="Arial"/>
          <w:sz w:val="22"/>
          <w:szCs w:val="22"/>
        </w:rPr>
        <w:t xml:space="preserve">Fast movement breaks the measurement. C-band radar can record at most about a quarter wavelength (about 1.4 cm) of motion between two passes before the signal wraps around. At a 12-day revisit that is roughly 42 cm/yr; faster final acceleration usually shows up as lost coherence, not as a bigger number. The pipeline reports this ceiling per track (max_unambiguous_los_m_per_yr).</w:t>
      </w:r>
    </w:p>
    <w:p>
      <w:pPr>
        <w:pStyle w:val="ListParagraph"/>
        <w:numPr>
          <w:ilvl w:val="0"/>
          <w:numId w:val="3"/>
        </w:numPr>
        <w:spacing w:after="80"/>
      </w:pPr>
      <w:r>
        <w:rPr>
          <w:rFonts w:ascii="Arial" w:cs="Arial" w:eastAsia="Arial" w:hAnsi="Arial"/>
          <w:sz w:val="22"/>
          <w:szCs w:val="22"/>
        </w:rPr>
        <w:t xml:space="preserve">Revisit is days, not minutes. One map every 6 to 12 days cannot replace on-site radar for imminent-failure warning. This project tests screening (which walls deserve attention), not real-time alarms.</w:t>
      </w:r>
    </w:p>
    <w:p>
      <w:pPr>
        <w:pStyle w:val="ListParagraph"/>
        <w:numPr>
          <w:ilvl w:val="0"/>
          <w:numId w:val="3"/>
        </w:numPr>
        <w:spacing w:after="80"/>
      </w:pPr>
      <w:r>
        <w:rPr>
          <w:rFonts w:ascii="Arial" w:cs="Arial" w:eastAsia="Arial" w:hAnsi="Arial"/>
          <w:sz w:val="22"/>
          <w:szCs w:val="22"/>
        </w:rPr>
        <w:t xml:space="preserve">30 m squares. Failures smaller than a few squares (under about 2,700 m2 with the default rule) cannot be resolved.</w:t>
      </w:r>
    </w:p>
    <w:p>
      <w:pPr>
        <w:pStyle w:val="ListParagraph"/>
        <w:numPr>
          <w:ilvl w:val="0"/>
          <w:numId w:val="3"/>
        </w:numPr>
        <w:spacing w:after="80"/>
      </w:pPr>
      <w:r>
        <w:rPr>
          <w:rFonts w:ascii="Arial" w:cs="Arial" w:eastAsia="Arial" w:hAnsi="Arial"/>
          <w:sz w:val="22"/>
          <w:szCs w:val="22"/>
        </w:rPr>
        <w:t xml:space="preserve">Active mining changes the surface. Benches being blasted, loaded, or backfilled lose coherence and may be masked; the pipeline cannot tell mining from instability.</w:t>
      </w:r>
    </w:p>
    <w:p>
      <w:pPr>
        <w:pStyle w:val="ListParagraph"/>
        <w:numPr>
          <w:ilvl w:val="0"/>
          <w:numId w:val="3"/>
        </w:numPr>
        <w:spacing w:after="80"/>
      </w:pPr>
      <w:r>
        <w:rPr>
          <w:rFonts w:ascii="Arial" w:cs="Arial" w:eastAsia="Arial" w:hAnsi="Arial"/>
          <w:sz w:val="22"/>
          <w:szCs w:val="22"/>
        </w:rPr>
        <w:t xml:space="preserve">OPERA's own quality mask may remove the pixels that matter. use_recommended_mask is a decision point for this reason.</w:t>
      </w:r>
    </w:p>
    <w:p>
      <w:pPr>
        <w:pStyle w:val="ListParagraph"/>
        <w:numPr>
          <w:ilvl w:val="0"/>
          <w:numId w:val="3"/>
        </w:numPr>
        <w:spacing w:after="80"/>
      </w:pPr>
      <w:r>
        <w:rPr>
          <w:rFonts w:ascii="Arial" w:cs="Arial" w:eastAsia="Arial" w:hAnsi="Arial"/>
          <w:sz w:val="22"/>
          <w:szCs w:val="22"/>
        </w:rPr>
        <w:t xml:space="preserve">Event lists are incomplete. Public records (MSHA) capture mostly accidents with injuries. An alert with no reported failure is called "alert without a reported event", never a "false alarm", because the failure may simply not be on record.</w:t>
      </w:r>
    </w:p>
    <w:p>
      <w:pPr>
        <w:pStyle w:val="ListParagraph"/>
        <w:numPr>
          <w:ilvl w:val="0"/>
          <w:numId w:val="3"/>
        </w:numPr>
        <w:spacing w:after="80"/>
      </w:pPr>
      <w:r>
        <w:rPr>
          <w:rFonts w:ascii="Arial" w:cs="Arial" w:eastAsia="Arial" w:hAnsi="Arial"/>
          <w:sz w:val="22"/>
          <w:szCs w:val="22"/>
        </w:rPr>
        <w:t xml:space="preserve">Event dates and locations are uncertain. Records may give a date but not a wall. Events without a wall assignment are excluded as not observable, which lowers the observable count.</w:t>
      </w:r>
    </w:p>
    <w:p>
      <w:pPr>
        <w:pStyle w:val="ListParagraph"/>
        <w:numPr>
          <w:ilvl w:val="0"/>
          <w:numId w:val="3"/>
        </w:numPr>
        <w:spacing w:after="80"/>
      </w:pPr>
      <w:r>
        <w:rPr>
          <w:rFonts w:ascii="Arial" w:cs="Arial" w:eastAsia="Arial" w:hAnsi="Arial"/>
          <w:sz w:val="22"/>
          <w:szCs w:val="22"/>
        </w:rPr>
        <w:t xml:space="preserve">Small sample. Two pits give few events. Rates come with 95% confidence intervals (Wilson) that will be wide; the pilot shows feasibility and failure modes, not a national accuracy figure.</w:t>
      </w:r>
    </w:p>
    <w:p>
      <w:pPr>
        <w:pStyle w:val="ListParagraph"/>
        <w:numPr>
          <w:ilvl w:val="0"/>
          <w:numId w:val="3"/>
        </w:numPr>
        <w:spacing w:after="80"/>
      </w:pPr>
      <w:r>
        <w:rPr>
          <w:rFonts w:ascii="Arial" w:cs="Arial" w:eastAsia="Arial" w:hAnsi="Arial"/>
          <w:sz w:val="22"/>
          <w:szCs w:val="22"/>
        </w:rPr>
        <w:t xml:space="preserve">Atmospheric delay tied to pit depth. Radar delay changes with height and season, and pit floors sit hundreds of metres below the stable rim used as reference. This can mimic slow seasonal movement on walls and is a likely source of alerts without events.</w:t>
      </w:r>
    </w:p>
    <w:p>
      <w:pPr>
        <w:pStyle w:val="ListParagraph"/>
        <w:numPr>
          <w:ilvl w:val="0"/>
          <w:numId w:val="3"/>
        </w:numPr>
        <w:spacing w:after="80"/>
      </w:pPr>
      <w:r>
        <w:rPr>
          <w:rFonts w:ascii="Arial" w:cs="Arial" w:eastAsia="Arial" w:hAnsi="Arial"/>
          <w:sz w:val="22"/>
          <w:szCs w:val="22"/>
        </w:rPr>
        <w:t xml:space="preserve">Stable reference is a judgment. If "stable" ground actually moves (dumps, leach pads, subsidence), every wall value shifts. The stable area is chosen automatically (or drawn by the author) and checked on the preview map in the checklist.</w:t>
      </w:r>
    </w:p>
    <w:p>
      <w:pPr>
        <w:pStyle w:val="ListParagraph"/>
        <w:numPr>
          <w:ilvl w:val="0"/>
          <w:numId w:val="3"/>
        </w:numPr>
        <w:spacing w:after="80"/>
      </w:pPr>
      <w:r>
        <w:rPr>
          <w:rFonts w:ascii="Arial" w:cs="Arial" w:eastAsia="Arial" w:hAnsi="Arial"/>
          <w:sz w:val="22"/>
          <w:szCs w:val="22"/>
        </w:rPr>
        <w:t xml:space="preserve">Version dependence. Results apply to OPERA DISP-S1 v1 as downloaded on the dates in PROVENANCE.txt; reprocessed versions may differ.</w:t>
      </w:r>
    </w:p>
    <w:p>
      <w:pPr>
        <w:pStyle w:val="ListParagraph"/>
        <w:numPr>
          <w:ilvl w:val="0"/>
          <w:numId w:val="3"/>
        </w:numPr>
        <w:spacing w:after="80"/>
      </w:pPr>
      <w:r>
        <w:rPr>
          <w:rFonts w:ascii="Arial" w:cs="Arial" w:eastAsia="Arial" w:hAnsi="Arial"/>
          <w:sz w:val="22"/>
          <w:szCs w:val="22"/>
        </w:rPr>
        <w:t xml:space="preserve">Synthetic tests prove the code, not the method. The test pit checks that the software finds what was planted. It says nothing about real walls.</w:t>
      </w:r>
    </w:p>
    <w:p>
      <w:pPr>
        <w:pStyle w:val="ListParagraph"/>
        <w:numPr>
          <w:ilvl w:val="0"/>
          <w:numId w:val="3"/>
        </w:numPr>
        <w:spacing w:after="80"/>
      </w:pPr>
      <w:r>
        <w:rPr>
          <w:rFonts w:ascii="Arial" w:cs="Arial" w:eastAsia="Arial" w:hAnsi="Arial"/>
          <w:sz w:val="22"/>
          <w:szCs w:val="22"/>
        </w:rPr>
        <w:t xml:space="preserve">Automatic walls come from a 2011 to 2015 elevation model. Walls cut or pushed back after that are missing or misplaced. Automatic stable ground can include settling dumps or tailings; the pipeline keeps only the quieter half of candidates by long-term trend, which removes most but not all of them. Both are checked on the preview map, and a hand-drawn file always overrides them.</w:t>
      </w:r>
    </w:p>
    <w:p>
      <w:pPr>
        <w:pStyle w:val="ListParagraph"/>
        <w:numPr>
          <w:ilvl w:val="0"/>
          <w:numId w:val="3"/>
        </w:numPr>
        <w:spacing w:after="80"/>
      </w:pPr>
      <w:r>
        <w:rPr>
          <w:rFonts w:ascii="Arial" w:cs="Arial" w:eastAsia="Arial" w:hAnsi="Arial"/>
          <w:sz w:val="22"/>
          <w:szCs w:val="22"/>
        </w:rPr>
        <w:t xml:space="preserve">Wall names are assigned by rule. The reported wall (for example "D East highwall") is matched to the automatic section facing the same way on the same side of the pit (wall_aliases in config/sites.yaml). If the failure sat across two sections, the match is partial.</w:t>
      </w:r>
    </w:p>
    <w:p>
      <w:pPr>
        <w:pStyle w:val="Heading1"/>
        <w:spacing w:after="120" w:before="240"/>
      </w:pPr>
      <w:r>
        <w:rPr>
          <w:rFonts w:ascii="Arial" w:cs="Arial" w:eastAsia="Arial" w:hAnsi="Arial"/>
          <w:b/>
          <w:bCs/>
          <w:sz w:val="28"/>
          <w:szCs w:val="28"/>
        </w:rPr>
        <w:t xml:space="preserve">Data and code availability</w:t>
      </w:r>
    </w:p>
    <w:p>
      <w:pPr>
        <w:spacing w:after="140" w:line="300"/>
      </w:pPr>
      <w:r>
        <w:rPr>
          <w:rFonts w:ascii="Arial" w:cs="Arial" w:eastAsia="Arial" w:hAnsi="Arial"/>
          <w:sz w:val="22"/>
          <w:szCs w:val="22"/>
        </w:rPr>
        <w:t xml:space="preserve">All code, configuration, processed outputs and provenance records are in the project repository [VERIFY repository URL] and archived with a DOI [DOI pending first release]. Code: MIT licence. Derived data and text: CC BY 4.0. OPERA data courtesy of NASA/JPL-Caltech, distributed by the ASF DAAC. Contains modified Copernicus DEM data.</w:t>
      </w:r>
    </w:p>
    <w:p>
      <w:pPr>
        <w:pStyle w:val="Heading1"/>
        <w:spacing w:after="120" w:before="240"/>
      </w:pPr>
      <w:r>
        <w:rPr>
          <w:rFonts w:ascii="Arial" w:cs="Arial" w:eastAsia="Arial" w:hAnsi="Arial"/>
          <w:b/>
          <w:bCs/>
          <w:sz w:val="28"/>
          <w:szCs w:val="28"/>
        </w:rPr>
        <w:t xml:space="preserve">Use of AI assistance</w:t>
      </w:r>
    </w:p>
    <w:p>
      <w:pPr>
        <w:spacing w:after="140" w:line="300"/>
      </w:pPr>
      <w:r>
        <w:rPr>
          <w:rFonts w:ascii="Arial" w:cs="Arial" w:eastAsia="Arial" w:hAnsi="Arial"/>
          <w:sz w:val="22"/>
          <w:szCs w:val="22"/>
        </w:rPr>
        <w:t xml:space="preserve">Software engineering, data handling and drafting mechanics were assisted by an AI model (Claude, Anthropic). The author made every analytic decision, checked every number against the pipeline outputs and sources, and takes responsibility for the content.</w:t>
      </w:r>
    </w:p>
    <w:p>
      <w:pPr>
        <w:pStyle w:val="Heading1"/>
        <w:spacing w:after="120" w:before="240"/>
      </w:pPr>
      <w:r>
        <w:rPr>
          <w:rFonts w:ascii="Arial" w:cs="Arial" w:eastAsia="Arial" w:hAnsi="Arial"/>
          <w:b/>
          <w:bCs/>
          <w:sz w:val="28"/>
          <w:szCs w:val="28"/>
        </w:rPr>
        <w:t xml:space="preserve">Competing interests</w:t>
      </w:r>
    </w:p>
    <w:p>
      <w:pPr>
        <w:spacing w:after="140" w:line="300"/>
      </w:pPr>
      <w:r>
        <w:rPr>
          <w:rFonts w:ascii="Arial" w:cs="Arial" w:eastAsia="Arial" w:hAnsi="Arial"/>
          <w:sz w:val="22"/>
          <w:szCs w:val="22"/>
        </w:rPr>
        <w:t xml:space="preserve">[VERIFY author to write the competing-interests statement; the venue's policy decides whether employment must be declared]</w:t>
      </w:r>
    </w:p>
    <w:p>
      <w:pPr>
        <w:pStyle w:val="Heading1"/>
        <w:spacing w:after="120" w:before="240"/>
      </w:pPr>
      <w:r>
        <w:rPr>
          <w:rFonts w:ascii="Arial" w:cs="Arial" w:eastAsia="Arial" w:hAnsi="Arial"/>
          <w:b/>
          <w:bCs/>
          <w:sz w:val="28"/>
          <w:szCs w:val="28"/>
        </w:rPr>
        <w:t xml:space="preserve">References</w:t>
      </w:r>
    </w:p>
    <w:p>
      <w:pPr>
        <w:spacing w:after="100"/>
        <w:ind w:left="360" w:hanging="360"/>
      </w:pPr>
      <w:r>
        <w:rPr>
          <w:rFonts w:ascii="Arial" w:cs="Arial" w:eastAsia="Arial" w:hAnsi="Arial"/>
          <w:sz w:val="20"/>
          <w:szCs w:val="20"/>
        </w:rPr>
        <w:t xml:space="preserve">Bourgeois, J., Lasich, T., Meda, A., Salzer, J., Sbai, S., Warren, S. (2024). Applications of InSAR for early indication of mine slope instability: back analysis of satellite displacement data. Slope Stability 2024, Belo Horizonte, Brazil. </w:t>
      </w:r>
      <w:hyperlink w:history="1" r:id="rIdner9xfcnfxfokas2m2y29">
        <w:r>
          <w:rPr>
            <w:rStyle w:val="Hyperlink"/>
            <w:rFonts w:ascii="Arial" w:cs="Arial" w:eastAsia="Arial" w:hAnsi="Arial"/>
            <w:sz w:val="20"/>
            <w:szCs w:val="20"/>
          </w:rPr>
          <w:t xml:space="preserve">https://stacks.cdc.gov/view/cdc/215697</w:t>
        </w:r>
      </w:hyperlink>
    </w:p>
    <w:p>
      <w:pPr>
        <w:spacing w:after="100"/>
        <w:ind w:left="360" w:hanging="360"/>
      </w:pPr>
      <w:r>
        <w:rPr>
          <w:rFonts w:ascii="Arial" w:cs="Arial" w:eastAsia="Arial" w:hAnsi="Arial"/>
          <w:sz w:val="20"/>
          <w:szCs w:val="20"/>
        </w:rPr>
        <w:t xml:space="preserve">Carlà, T., Intrieri, E., Raspini, F., Bardi, F., Farina, P., Ferretti, A., Colombo, D., Novali, F., Casagli, N. (2019). Perspectives on the prediction of catastrophic slope failures from satellite InSAR. Scientific Reports, 9. </w:t>
      </w:r>
      <w:hyperlink w:history="1" r:id="rIdpxy2vcdgpcx8zb5doofjb">
        <w:r>
          <w:rPr>
            <w:rStyle w:val="Hyperlink"/>
            <w:rFonts w:ascii="Arial" w:cs="Arial" w:eastAsia="Arial" w:hAnsi="Arial"/>
            <w:sz w:val="20"/>
            <w:szCs w:val="20"/>
          </w:rPr>
          <w:t xml:space="preserve">https://doi.org/10.1038/s41598-019-50792-y</w:t>
        </w:r>
      </w:hyperlink>
    </w:p>
    <w:p>
      <w:pPr>
        <w:spacing w:after="100"/>
        <w:ind w:left="360" w:hanging="360"/>
      </w:pPr>
      <w:r>
        <w:rPr>
          <w:rFonts w:ascii="Arial" w:cs="Arial" w:eastAsia="Arial" w:hAnsi="Arial"/>
          <w:sz w:val="20"/>
          <w:szCs w:val="20"/>
        </w:rPr>
        <w:t xml:space="preserve">Gaida, M., Morkeh, J., Robotham, M.E., Ross, B., Williams, C., Zebker, M. (2019). Assessment of historic InSAR monitoring data prior to the Manefay slide at the Bingham Canyon Mine using the latest analytical techniques. 53rd US Rock Mechanics/Geomechanics Symposium, ARMA 19-2881. </w:t>
      </w:r>
      <w:hyperlink w:history="1" r:id="rIdnesz2h3crzsci3eyct-8h">
        <w:r>
          <w:rPr>
            <w:rStyle w:val="Hyperlink"/>
            <w:rFonts w:ascii="Arial" w:cs="Arial" w:eastAsia="Arial" w:hAnsi="Arial"/>
            <w:sz w:val="20"/>
            <w:szCs w:val="20"/>
          </w:rPr>
          <w:t xml:space="preserve">https://stacks.cdc.gov/view/cdc/225985</w:t>
        </w:r>
      </w:hyperlink>
    </w:p>
    <w:p>
      <w:pPr>
        <w:spacing w:after="100"/>
        <w:ind w:left="360" w:hanging="360"/>
      </w:pPr>
      <w:r>
        <w:rPr>
          <w:rFonts w:ascii="Arial" w:cs="Arial" w:eastAsia="Arial" w:hAnsi="Arial"/>
          <w:sz w:val="20"/>
          <w:szCs w:val="20"/>
        </w:rPr>
        <w:t xml:space="preserve">Montana Department of Environmental Quality, Hard Rock Mining Bureau (2022). Field inspection report, Montana Resources Operating Permit 00030, inspected 22 November 2022. </w:t>
      </w:r>
      <w:hyperlink w:history="1" r:id="rIdtgrwbkpxfjwnkd4sw4trd">
        <w:r>
          <w:rPr>
            <w:rStyle w:val="Hyperlink"/>
            <w:rFonts w:ascii="Arial" w:cs="Arial" w:eastAsia="Arial" w:hAnsi="Arial"/>
            <w:sz w:val="20"/>
            <w:szCs w:val="20"/>
          </w:rPr>
          <w:t xml:space="preserve">https://montanaresources.com/wp-content/uploads/2024/11/Field-Inspection-Report-11-22-2022.pdf</w:t>
        </w:r>
      </w:hyperlink>
    </w:p>
    <w:p>
      <w:pPr>
        <w:spacing w:after="100"/>
        <w:ind w:left="360" w:hanging="360"/>
      </w:pPr>
      <w:r>
        <w:rPr>
          <w:rFonts w:ascii="Arial" w:cs="Arial" w:eastAsia="Arial" w:hAnsi="Arial"/>
          <w:sz w:val="20"/>
          <w:szCs w:val="20"/>
        </w:rPr>
        <w:t xml:space="preserve">OPERA Project, NASA Jet Propulsion Laboratory. OPERA L3 Surface Displacement from Sentinel-1 (DISP-S1), version 1. ASF DAAC. </w:t>
      </w:r>
      <w:hyperlink w:history="1" r:id="rIdkc0s_i1rds2tac9tyvguw">
        <w:r>
          <w:rPr>
            <w:rStyle w:val="Hyperlink"/>
            <w:rFonts w:ascii="Arial" w:cs="Arial" w:eastAsia="Arial" w:hAnsi="Arial"/>
            <w:sz w:val="20"/>
            <w:szCs w:val="20"/>
          </w:rPr>
          <w:t xml:space="preserve">https://www.earthdata.nasa.gov/data/catalog/asf-opera-l3-disp-s1-v1-1</w:t>
        </w:r>
      </w:hyperlink>
    </w:p>
    <w:p>
      <w:pPr>
        <w:spacing w:after="100"/>
        <w:ind w:left="360" w:hanging="360"/>
      </w:pPr>
      <w:r>
        <w:rPr>
          <w:rFonts w:ascii="Arial" w:cs="Arial" w:eastAsia="Arial" w:hAnsi="Arial"/>
          <w:sz w:val="20"/>
          <w:szCs w:val="20"/>
        </w:rPr>
        <w:t xml:space="preserve">European Space Agency, Airbus (2022). Copernicus DEM GLO-30. AWS Open Data. </w:t>
      </w:r>
      <w:hyperlink w:history="1" r:id="rIdyjk02jtqj14a6kebqjja5">
        <w:r>
          <w:rPr>
            <w:rStyle w:val="Hyperlink"/>
            <w:rFonts w:ascii="Arial" w:cs="Arial" w:eastAsia="Arial" w:hAnsi="Arial"/>
            <w:sz w:val="20"/>
            <w:szCs w:val="20"/>
          </w:rPr>
          <w:t xml:space="preserve">https://registry.opendata.aws/copernicus-dem/</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B00020"/>
        <w:sz w:val="16"/>
        <w:szCs w:val="16"/>
      </w:rPr>
      <w:t xml:space="preserve">DRAFT  |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ner9xfcnfxfokas2m2y29" Type="http://schemas.openxmlformats.org/officeDocument/2006/relationships/hyperlink" Target="https://stacks.cdc.gov/view/cdc/215697" TargetMode="External"/><Relationship Id="rIdpxy2vcdgpcx8zb5doofjb" Type="http://schemas.openxmlformats.org/officeDocument/2006/relationships/hyperlink" Target="https://doi.org/10.1038/s41598-019-50792-y" TargetMode="External"/><Relationship Id="rIdnesz2h3crzsci3eyct-8h" Type="http://schemas.openxmlformats.org/officeDocument/2006/relationships/hyperlink" Target="https://stacks.cdc.gov/view/cdc/225985" TargetMode="External"/><Relationship Id="rIdtgrwbkpxfjwnkd4sw4trd" Type="http://schemas.openxmlformats.org/officeDocument/2006/relationships/hyperlink" Target="https://montanaresources.com/wp-content/uploads/2024/11/Field-Inspection-Report-11-22-2022.pdf" TargetMode="External"/><Relationship Id="rIdkc0s_i1rds2tac9tyvguw" Type="http://schemas.openxmlformats.org/officeDocument/2006/relationships/hyperlink" Target="https://www.earthdata.nasa.gov/data/catalog/asf-opera-l3-disp-s1-v1-1" TargetMode="External"/><Relationship Id="rIdyjk02jtqj14a6kebqjja5" Type="http://schemas.openxmlformats.org/officeDocument/2006/relationships/hyperlink" Target="https://registry.opendata.aws/copernicus-dem/"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NASA's open OPERA DISP-S1 InSAR product screen open-pit walls? A reproducible two-site validation against documented wall failures</dc:title>
  <dc:creator>Lukman Alabede</dc:creator>
  <cp:lastModifiedBy>Un-named</cp:lastModifiedBy>
  <cp:revision>1</cp:revision>
  <dcterms:created xsi:type="dcterms:W3CDTF">2026-10-12T02:02:32.211Z</dcterms:created>
  <dcterms:modified xsi:type="dcterms:W3CDTF">2026-10-12T02:02:32.221Z</dcterms:modified>
</cp:coreProperties>
</file>

<file path=docProps/custom.xml><?xml version="1.0" encoding="utf-8"?>
<Properties xmlns="http://schemas.openxmlformats.org/officeDocument/2006/custom-properties" xmlns:vt="http://schemas.openxmlformats.org/officeDocument/2006/docPropsVTypes"/>
</file>