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C0079" w14:textId="3828993F" w:rsidR="00E57089" w:rsidRPr="00E15595" w:rsidRDefault="00173A9B" w:rsidP="00173A9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E15595">
        <w:rPr>
          <w:rFonts w:ascii="Calibri" w:hAnsi="Calibri" w:cs="Calibri"/>
          <w:b/>
          <w:bCs/>
          <w:sz w:val="32"/>
          <w:szCs w:val="32"/>
        </w:rPr>
        <w:t>MATRIZ DE PRIORIZACIÓN (</w:t>
      </w:r>
      <w:proofErr w:type="spellStart"/>
      <w:r w:rsidRPr="00E15595">
        <w:rPr>
          <w:rFonts w:ascii="Calibri" w:hAnsi="Calibri" w:cs="Calibri"/>
          <w:b/>
          <w:bCs/>
          <w:sz w:val="32"/>
          <w:szCs w:val="32"/>
        </w:rPr>
        <w:t>MoSCoW</w:t>
      </w:r>
      <w:proofErr w:type="spellEnd"/>
      <w:r w:rsidRPr="00E15595">
        <w:rPr>
          <w:rFonts w:ascii="Calibri" w:hAnsi="Calibri" w:cs="Calibri"/>
          <w:b/>
          <w:bCs/>
          <w:sz w:val="32"/>
          <w:szCs w:val="32"/>
        </w:rPr>
        <w:t>)</w:t>
      </w:r>
    </w:p>
    <w:p w14:paraId="780FFFE1" w14:textId="77777777" w:rsidR="00173A9B" w:rsidRPr="00E15595" w:rsidRDefault="00173A9B" w:rsidP="00173A9B">
      <w:pPr>
        <w:jc w:val="center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73A9B" w:rsidRPr="00E15595" w14:paraId="0AFDD86A" w14:textId="77777777" w:rsidTr="00173A9B">
        <w:tc>
          <w:tcPr>
            <w:tcW w:w="2831" w:type="dxa"/>
          </w:tcPr>
          <w:p w14:paraId="3D8CA1F1" w14:textId="3303E9AE" w:rsidR="00173A9B" w:rsidRPr="00E15595" w:rsidRDefault="00173A9B" w:rsidP="00173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5595">
              <w:rPr>
                <w:rFonts w:ascii="Calibri" w:hAnsi="Calibri" w:cs="Calibri"/>
                <w:b/>
                <w:bCs/>
              </w:rPr>
              <w:t>Requerimiento</w:t>
            </w:r>
          </w:p>
        </w:tc>
        <w:tc>
          <w:tcPr>
            <w:tcW w:w="2831" w:type="dxa"/>
          </w:tcPr>
          <w:p w14:paraId="572D5DC3" w14:textId="69D0AFBF" w:rsidR="00173A9B" w:rsidRPr="00E15595" w:rsidRDefault="00173A9B" w:rsidP="00173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5595">
              <w:rPr>
                <w:rFonts w:ascii="Calibri" w:hAnsi="Calibri" w:cs="Calibri"/>
                <w:b/>
                <w:bCs/>
              </w:rPr>
              <w:t>Prioridad</w:t>
            </w:r>
          </w:p>
        </w:tc>
        <w:tc>
          <w:tcPr>
            <w:tcW w:w="2832" w:type="dxa"/>
          </w:tcPr>
          <w:p w14:paraId="0272D90F" w14:textId="05F311C6" w:rsidR="00173A9B" w:rsidRPr="00E15595" w:rsidRDefault="00173A9B" w:rsidP="00173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5595">
              <w:rPr>
                <w:rFonts w:ascii="Calibri" w:hAnsi="Calibri" w:cs="Calibri"/>
                <w:b/>
                <w:bCs/>
              </w:rPr>
              <w:t>Observación</w:t>
            </w:r>
          </w:p>
        </w:tc>
      </w:tr>
      <w:tr w:rsidR="00173A9B" w:rsidRPr="00E15595" w14:paraId="43F5129C" w14:textId="77777777" w:rsidTr="00173A9B">
        <w:tc>
          <w:tcPr>
            <w:tcW w:w="2831" w:type="dxa"/>
          </w:tcPr>
          <w:p w14:paraId="47640452" w14:textId="58FD952C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RF01 – Registrar puesto</w:t>
            </w:r>
          </w:p>
        </w:tc>
        <w:tc>
          <w:tcPr>
            <w:tcW w:w="2831" w:type="dxa"/>
          </w:tcPr>
          <w:p w14:paraId="630695E5" w14:textId="13509453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0EB15420" w14:textId="1556F7BE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Sin esto no se puede operar.</w:t>
            </w:r>
          </w:p>
        </w:tc>
      </w:tr>
      <w:tr w:rsidR="00173A9B" w:rsidRPr="00E15595" w14:paraId="6BE9724E" w14:textId="77777777" w:rsidTr="00173A9B">
        <w:tc>
          <w:tcPr>
            <w:tcW w:w="2831" w:type="dxa"/>
          </w:tcPr>
          <w:p w14:paraId="2BD7D359" w14:textId="446AE15B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RF02 – Registrar comerciante</w:t>
            </w:r>
          </w:p>
        </w:tc>
        <w:tc>
          <w:tcPr>
            <w:tcW w:w="2831" w:type="dxa"/>
          </w:tcPr>
          <w:p w14:paraId="11D3CDA9" w14:textId="535435C7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05857516" w14:textId="561B7235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Igualmente</w:t>
            </w:r>
          </w:p>
        </w:tc>
      </w:tr>
      <w:tr w:rsidR="00173A9B" w:rsidRPr="00E15595" w14:paraId="4130C1B0" w14:textId="77777777" w:rsidTr="00173A9B">
        <w:tc>
          <w:tcPr>
            <w:tcW w:w="2831" w:type="dxa"/>
          </w:tcPr>
          <w:p w14:paraId="75D305B5" w14:textId="712E1078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RF03 – Definir tarifa mensual</w:t>
            </w:r>
          </w:p>
        </w:tc>
        <w:tc>
          <w:tcPr>
            <w:tcW w:w="2831" w:type="dxa"/>
          </w:tcPr>
          <w:p w14:paraId="3B8ED5D5" w14:textId="0F3AD1F2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71AE2790" w14:textId="75F932C4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Base para el cobro</w:t>
            </w:r>
          </w:p>
        </w:tc>
      </w:tr>
      <w:tr w:rsidR="00173A9B" w:rsidRPr="00E15595" w14:paraId="48E72B3D" w14:textId="77777777" w:rsidTr="00173A9B">
        <w:tc>
          <w:tcPr>
            <w:tcW w:w="2831" w:type="dxa"/>
          </w:tcPr>
          <w:p w14:paraId="068358E1" w14:textId="0F38F6F4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RF04 – Registrar pago</w:t>
            </w:r>
          </w:p>
        </w:tc>
        <w:tc>
          <w:tcPr>
            <w:tcW w:w="2831" w:type="dxa"/>
          </w:tcPr>
          <w:p w14:paraId="77F55E57" w14:textId="1766B11B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1B312F10" w14:textId="59A510B4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Núcleo del sistema de ingresos.</w:t>
            </w:r>
          </w:p>
        </w:tc>
      </w:tr>
      <w:tr w:rsidR="00173A9B" w:rsidRPr="00E15595" w14:paraId="695575F2" w14:textId="77777777" w:rsidTr="00173A9B">
        <w:tc>
          <w:tcPr>
            <w:tcW w:w="2831" w:type="dxa"/>
          </w:tcPr>
          <w:p w14:paraId="6772A65D" w14:textId="2C7EB690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RF05 – Control de licencias sanitarias</w:t>
            </w:r>
          </w:p>
        </w:tc>
        <w:tc>
          <w:tcPr>
            <w:tcW w:w="2831" w:type="dxa"/>
          </w:tcPr>
          <w:p w14:paraId="34652A82" w14:textId="142E7EBE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281C8635" w14:textId="741D8F66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Cumplimiento de normativa</w:t>
            </w:r>
          </w:p>
        </w:tc>
      </w:tr>
      <w:tr w:rsidR="00173A9B" w:rsidRPr="00E15595" w14:paraId="5B717DCB" w14:textId="77777777" w:rsidTr="00173A9B">
        <w:tc>
          <w:tcPr>
            <w:tcW w:w="2831" w:type="dxa"/>
          </w:tcPr>
          <w:p w14:paraId="0E9AA4D3" w14:textId="44B65811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RF06 – Informe de recaudación</w:t>
            </w:r>
          </w:p>
        </w:tc>
        <w:tc>
          <w:tcPr>
            <w:tcW w:w="2831" w:type="dxa"/>
          </w:tcPr>
          <w:p w14:paraId="5DB1F94F" w14:textId="225D5C12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MUST</w:t>
            </w:r>
          </w:p>
        </w:tc>
        <w:tc>
          <w:tcPr>
            <w:tcW w:w="2832" w:type="dxa"/>
          </w:tcPr>
          <w:p w14:paraId="0FB6308E" w14:textId="2D13222F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Requerido por la Dirección de Ingresos</w:t>
            </w:r>
          </w:p>
        </w:tc>
      </w:tr>
      <w:tr w:rsidR="00173A9B" w:rsidRPr="00E15595" w14:paraId="4D127902" w14:textId="77777777" w:rsidTr="00173A9B">
        <w:tc>
          <w:tcPr>
            <w:tcW w:w="2831" w:type="dxa"/>
          </w:tcPr>
          <w:p w14:paraId="2BF3B628" w14:textId="456190DB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RF07 – Alertas de licencias</w:t>
            </w:r>
          </w:p>
        </w:tc>
        <w:tc>
          <w:tcPr>
            <w:tcW w:w="2831" w:type="dxa"/>
          </w:tcPr>
          <w:p w14:paraId="3F9FD51A" w14:textId="4AFF0C7B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SHOULD</w:t>
            </w:r>
          </w:p>
        </w:tc>
        <w:tc>
          <w:tcPr>
            <w:tcW w:w="2832" w:type="dxa"/>
          </w:tcPr>
          <w:p w14:paraId="71BF259A" w14:textId="52132EBA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Mejora la gestión, no crítica para el MVP</w:t>
            </w:r>
          </w:p>
        </w:tc>
      </w:tr>
      <w:tr w:rsidR="00173A9B" w:rsidRPr="00E15595" w14:paraId="7620E773" w14:textId="77777777" w:rsidTr="00173A9B">
        <w:tc>
          <w:tcPr>
            <w:tcW w:w="2831" w:type="dxa"/>
          </w:tcPr>
          <w:p w14:paraId="4B84D2FF" w14:textId="3D728D08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Exportación de informes a Excel</w:t>
            </w:r>
          </w:p>
        </w:tc>
        <w:tc>
          <w:tcPr>
            <w:tcW w:w="2831" w:type="dxa"/>
          </w:tcPr>
          <w:p w14:paraId="419F6903" w14:textId="6E9942D2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COULD</w:t>
            </w:r>
          </w:p>
        </w:tc>
        <w:tc>
          <w:tcPr>
            <w:tcW w:w="2832" w:type="dxa"/>
          </w:tcPr>
          <w:p w14:paraId="1B8C72E8" w14:textId="5B9DE4B1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Puede postergarse par amas después</w:t>
            </w:r>
          </w:p>
        </w:tc>
      </w:tr>
      <w:tr w:rsidR="00173A9B" w:rsidRPr="00E15595" w14:paraId="698E6FE7" w14:textId="77777777" w:rsidTr="00173A9B">
        <w:tc>
          <w:tcPr>
            <w:tcW w:w="2831" w:type="dxa"/>
          </w:tcPr>
          <w:p w14:paraId="675C1751" w14:textId="4C71312D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Gráficos interactivos</w:t>
            </w:r>
          </w:p>
        </w:tc>
        <w:tc>
          <w:tcPr>
            <w:tcW w:w="2831" w:type="dxa"/>
          </w:tcPr>
          <w:p w14:paraId="52F77809" w14:textId="2D78784B" w:rsidR="00173A9B" w:rsidRPr="00E15595" w:rsidRDefault="00173A9B" w:rsidP="00E15595">
            <w:pPr>
              <w:jc w:val="center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WON’T (post-MVP)</w:t>
            </w:r>
          </w:p>
        </w:tc>
        <w:tc>
          <w:tcPr>
            <w:tcW w:w="2832" w:type="dxa"/>
          </w:tcPr>
          <w:p w14:paraId="7AC4C38A" w14:textId="5CC4F478" w:rsidR="00173A9B" w:rsidRPr="00E15595" w:rsidRDefault="00173A9B" w:rsidP="00E15595">
            <w:pPr>
              <w:jc w:val="both"/>
              <w:rPr>
                <w:rFonts w:ascii="Calibri" w:hAnsi="Calibri" w:cs="Calibri"/>
              </w:rPr>
            </w:pPr>
            <w:r w:rsidRPr="00E15595">
              <w:rPr>
                <w:rFonts w:ascii="Calibri" w:hAnsi="Calibri" w:cs="Calibri"/>
              </w:rPr>
              <w:t>No incluido en el alcance inicial por ahora</w:t>
            </w:r>
          </w:p>
        </w:tc>
      </w:tr>
    </w:tbl>
    <w:p w14:paraId="5FD15C39" w14:textId="77777777" w:rsidR="00173A9B" w:rsidRPr="00E15595" w:rsidRDefault="00173A9B">
      <w:pPr>
        <w:rPr>
          <w:rFonts w:ascii="Calibri" w:hAnsi="Calibri" w:cs="Calibri"/>
        </w:rPr>
      </w:pPr>
    </w:p>
    <w:sectPr w:rsidR="00173A9B" w:rsidRPr="00E15595" w:rsidSect="00E1559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9B"/>
    <w:rsid w:val="00173A9B"/>
    <w:rsid w:val="004D1EC4"/>
    <w:rsid w:val="00937BAF"/>
    <w:rsid w:val="00E15595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F76EA"/>
  <w15:chartTrackingRefBased/>
  <w15:docId w15:val="{A22E7D1F-8513-43AC-8C26-6C273258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A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A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A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A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2026-06-15T03:17:00Z</dcterms:created>
  <dcterms:modified xsi:type="dcterms:W3CDTF">2026-06-16T23:30:00Z</dcterms:modified>
</cp:coreProperties>
</file>