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056F1" w14:textId="77777777" w:rsidR="005E5F75" w:rsidRPr="00751135" w:rsidRDefault="005E5F75" w:rsidP="005E5F75">
      <w:pPr>
        <w:jc w:val="center"/>
        <w:rPr>
          <w:b/>
          <w:bCs/>
          <w:sz w:val="32"/>
          <w:szCs w:val="32"/>
        </w:rPr>
      </w:pPr>
      <w:r w:rsidRPr="00751135">
        <w:rPr>
          <w:b/>
          <w:bCs/>
          <w:sz w:val="32"/>
          <w:szCs w:val="32"/>
        </w:rPr>
        <w:t>REGISTRO DE RIESGOS (Inicial)</w:t>
      </w:r>
    </w:p>
    <w:p w14:paraId="4BA2E90B" w14:textId="77777777" w:rsidR="00E57089" w:rsidRDefault="00E5708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9"/>
        <w:gridCol w:w="1767"/>
        <w:gridCol w:w="1686"/>
        <w:gridCol w:w="1657"/>
        <w:gridCol w:w="1755"/>
      </w:tblGrid>
      <w:tr w:rsidR="005E5F75" w14:paraId="5F10771E" w14:textId="77777777" w:rsidTr="005E5F75">
        <w:tc>
          <w:tcPr>
            <w:tcW w:w="1698" w:type="dxa"/>
          </w:tcPr>
          <w:p w14:paraId="2DAD4EE8" w14:textId="043BEA09" w:rsidR="005E5F75" w:rsidRPr="00751135" w:rsidRDefault="005E5F75" w:rsidP="005E5F7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51135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1699" w:type="dxa"/>
          </w:tcPr>
          <w:p w14:paraId="6CB8F637" w14:textId="098E16D7" w:rsidR="005E5F75" w:rsidRPr="00751135" w:rsidRDefault="005E5F75" w:rsidP="005E5F7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51135">
              <w:rPr>
                <w:rFonts w:ascii="Calibri" w:hAnsi="Calibri" w:cs="Calibri"/>
                <w:b/>
                <w:bCs/>
              </w:rPr>
              <w:t>Riesgo</w:t>
            </w:r>
          </w:p>
        </w:tc>
        <w:tc>
          <w:tcPr>
            <w:tcW w:w="1699" w:type="dxa"/>
          </w:tcPr>
          <w:p w14:paraId="0ECA9751" w14:textId="2B0EF918" w:rsidR="005E5F75" w:rsidRPr="00751135" w:rsidRDefault="005E5F75" w:rsidP="005E5F7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51135">
              <w:rPr>
                <w:rFonts w:ascii="Calibri" w:hAnsi="Calibri" w:cs="Calibri"/>
                <w:b/>
                <w:bCs/>
              </w:rPr>
              <w:t>Probabilidad</w:t>
            </w:r>
          </w:p>
        </w:tc>
        <w:tc>
          <w:tcPr>
            <w:tcW w:w="1699" w:type="dxa"/>
          </w:tcPr>
          <w:p w14:paraId="0D1BB14E" w14:textId="7876D007" w:rsidR="005E5F75" w:rsidRPr="00751135" w:rsidRDefault="005E5F75" w:rsidP="005E5F7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51135">
              <w:rPr>
                <w:rFonts w:ascii="Calibri" w:hAnsi="Calibri" w:cs="Calibri"/>
                <w:b/>
                <w:bCs/>
              </w:rPr>
              <w:t>Impacto</w:t>
            </w:r>
          </w:p>
        </w:tc>
        <w:tc>
          <w:tcPr>
            <w:tcW w:w="1699" w:type="dxa"/>
          </w:tcPr>
          <w:p w14:paraId="7A6DBD9F" w14:textId="0117933C" w:rsidR="005E5F75" w:rsidRPr="00751135" w:rsidRDefault="005E5F75" w:rsidP="005E5F75">
            <w:pPr>
              <w:rPr>
                <w:rFonts w:ascii="Calibri" w:hAnsi="Calibri" w:cs="Calibri"/>
                <w:b/>
                <w:bCs/>
              </w:rPr>
            </w:pPr>
            <w:r w:rsidRPr="00751135">
              <w:rPr>
                <w:rFonts w:ascii="Calibri" w:hAnsi="Calibri" w:cs="Calibri"/>
                <w:b/>
                <w:bCs/>
              </w:rPr>
              <w:t>Mitigación</w:t>
            </w:r>
          </w:p>
        </w:tc>
      </w:tr>
      <w:tr w:rsidR="005E5F75" w14:paraId="625EA339" w14:textId="77777777" w:rsidTr="005E5F75">
        <w:tc>
          <w:tcPr>
            <w:tcW w:w="1698" w:type="dxa"/>
          </w:tcPr>
          <w:p w14:paraId="15B6AB91" w14:textId="00780D7D" w:rsidR="005E5F75" w:rsidRPr="00751135" w:rsidRDefault="005E5F75" w:rsidP="005E5F75">
            <w:pPr>
              <w:jc w:val="center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R01</w:t>
            </w:r>
          </w:p>
        </w:tc>
        <w:tc>
          <w:tcPr>
            <w:tcW w:w="1699" w:type="dxa"/>
          </w:tcPr>
          <w:p w14:paraId="1BE0A235" w14:textId="18AA19BA" w:rsidR="005E5F75" w:rsidRPr="00751135" w:rsidRDefault="005E5F75" w:rsidP="005E5F75">
            <w:pPr>
              <w:jc w:val="center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Renuncia de desarrolladores clave</w:t>
            </w:r>
          </w:p>
        </w:tc>
        <w:tc>
          <w:tcPr>
            <w:tcW w:w="1699" w:type="dxa"/>
          </w:tcPr>
          <w:p w14:paraId="13BB9E81" w14:textId="50A9C514" w:rsidR="005E5F75" w:rsidRPr="00751135" w:rsidRDefault="005E5F75" w:rsidP="005E5F75">
            <w:pPr>
              <w:jc w:val="center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Media</w:t>
            </w:r>
          </w:p>
        </w:tc>
        <w:tc>
          <w:tcPr>
            <w:tcW w:w="1699" w:type="dxa"/>
          </w:tcPr>
          <w:p w14:paraId="1FBC66C6" w14:textId="1BFA6CEB" w:rsidR="005E5F75" w:rsidRPr="00751135" w:rsidRDefault="005E5F75" w:rsidP="005E5F75">
            <w:pPr>
              <w:jc w:val="center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Alto</w:t>
            </w:r>
          </w:p>
        </w:tc>
        <w:tc>
          <w:tcPr>
            <w:tcW w:w="1699" w:type="dxa"/>
          </w:tcPr>
          <w:p w14:paraId="19BF7E58" w14:textId="71312AAA" w:rsidR="005E5F75" w:rsidRPr="00751135" w:rsidRDefault="005E5F75" w:rsidP="005E5F75">
            <w:pPr>
              <w:jc w:val="both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 xml:space="preserve">Documentación de código, </w:t>
            </w:r>
            <w:proofErr w:type="spellStart"/>
            <w:r w:rsidRPr="00751135">
              <w:rPr>
                <w:rFonts w:ascii="Calibri" w:hAnsi="Calibri" w:cs="Calibri"/>
              </w:rPr>
              <w:t>pair</w:t>
            </w:r>
            <w:proofErr w:type="spellEnd"/>
            <w:r w:rsidRPr="00751135">
              <w:rPr>
                <w:rFonts w:ascii="Calibri" w:hAnsi="Calibri" w:cs="Calibri"/>
              </w:rPr>
              <w:t xml:space="preserve"> </w:t>
            </w:r>
            <w:proofErr w:type="spellStart"/>
            <w:r w:rsidRPr="00751135">
              <w:rPr>
                <w:rFonts w:ascii="Calibri" w:hAnsi="Calibri" w:cs="Calibri"/>
              </w:rPr>
              <w:t>programming</w:t>
            </w:r>
            <w:proofErr w:type="spellEnd"/>
            <w:r w:rsidRPr="00751135">
              <w:rPr>
                <w:rFonts w:ascii="Calibri" w:hAnsi="Calibri" w:cs="Calibri"/>
              </w:rPr>
              <w:t>, bono de retención</w:t>
            </w:r>
          </w:p>
        </w:tc>
      </w:tr>
      <w:tr w:rsidR="005E5F75" w14:paraId="293DE7A3" w14:textId="77777777" w:rsidTr="005E5F75">
        <w:tc>
          <w:tcPr>
            <w:tcW w:w="1698" w:type="dxa"/>
          </w:tcPr>
          <w:p w14:paraId="63A8B6D1" w14:textId="063EBDEA" w:rsidR="005E5F75" w:rsidRPr="00751135" w:rsidRDefault="005E5F75" w:rsidP="005E5F75">
            <w:pPr>
              <w:jc w:val="center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R02</w:t>
            </w:r>
          </w:p>
        </w:tc>
        <w:tc>
          <w:tcPr>
            <w:tcW w:w="1699" w:type="dxa"/>
          </w:tcPr>
          <w:p w14:paraId="5A7A6C75" w14:textId="30085AC1" w:rsidR="005E5F75" w:rsidRPr="00751135" w:rsidRDefault="005E5F75" w:rsidP="005E5F75">
            <w:pPr>
              <w:jc w:val="center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Cambios en normativa de licencias sanitarias</w:t>
            </w:r>
          </w:p>
        </w:tc>
        <w:tc>
          <w:tcPr>
            <w:tcW w:w="1699" w:type="dxa"/>
          </w:tcPr>
          <w:p w14:paraId="259F9A00" w14:textId="4B8E600D" w:rsidR="005E5F75" w:rsidRPr="00751135" w:rsidRDefault="005E5F75" w:rsidP="005E5F75">
            <w:pPr>
              <w:jc w:val="center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Alta</w:t>
            </w:r>
          </w:p>
        </w:tc>
        <w:tc>
          <w:tcPr>
            <w:tcW w:w="1699" w:type="dxa"/>
          </w:tcPr>
          <w:p w14:paraId="76E3AF23" w14:textId="3007A692" w:rsidR="005E5F75" w:rsidRPr="00751135" w:rsidRDefault="005E5F75" w:rsidP="005E5F75">
            <w:pPr>
              <w:jc w:val="center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Alto</w:t>
            </w:r>
          </w:p>
        </w:tc>
        <w:tc>
          <w:tcPr>
            <w:tcW w:w="1699" w:type="dxa"/>
          </w:tcPr>
          <w:p w14:paraId="17C2DA50" w14:textId="308DEC55" w:rsidR="005E5F75" w:rsidRPr="00751135" w:rsidRDefault="005E5F75" w:rsidP="005E5F75">
            <w:pPr>
              <w:jc w:val="both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Módulo parametrizable, reuniones quincenales con asesor legal</w:t>
            </w:r>
          </w:p>
        </w:tc>
      </w:tr>
      <w:tr w:rsidR="005E5F75" w14:paraId="56235260" w14:textId="77777777" w:rsidTr="005E5F75">
        <w:tc>
          <w:tcPr>
            <w:tcW w:w="1698" w:type="dxa"/>
          </w:tcPr>
          <w:p w14:paraId="46EC1103" w14:textId="4FB042AF" w:rsidR="005E5F75" w:rsidRPr="00751135" w:rsidRDefault="005E5F75" w:rsidP="005E5F75">
            <w:pPr>
              <w:jc w:val="center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R03</w:t>
            </w:r>
          </w:p>
        </w:tc>
        <w:tc>
          <w:tcPr>
            <w:tcW w:w="1699" w:type="dxa"/>
          </w:tcPr>
          <w:p w14:paraId="69556DCA" w14:textId="37FB0A31" w:rsidR="005E5F75" w:rsidRPr="00751135" w:rsidRDefault="005E5F75" w:rsidP="005E5F75">
            <w:pPr>
              <w:jc w:val="center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Solicitudes de cambio de alcance (ej. geolocalización)</w:t>
            </w:r>
          </w:p>
        </w:tc>
        <w:tc>
          <w:tcPr>
            <w:tcW w:w="1699" w:type="dxa"/>
          </w:tcPr>
          <w:p w14:paraId="0D61C616" w14:textId="34C2D2BE" w:rsidR="005E5F75" w:rsidRPr="00751135" w:rsidRDefault="005E5F75" w:rsidP="005E5F75">
            <w:pPr>
              <w:jc w:val="center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Media</w:t>
            </w:r>
          </w:p>
        </w:tc>
        <w:tc>
          <w:tcPr>
            <w:tcW w:w="1699" w:type="dxa"/>
          </w:tcPr>
          <w:p w14:paraId="7AF8FC73" w14:textId="311B8DCE" w:rsidR="005E5F75" w:rsidRPr="00751135" w:rsidRDefault="005E5F75" w:rsidP="005E5F75">
            <w:pPr>
              <w:jc w:val="center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Medio</w:t>
            </w:r>
          </w:p>
        </w:tc>
        <w:tc>
          <w:tcPr>
            <w:tcW w:w="1699" w:type="dxa"/>
          </w:tcPr>
          <w:p w14:paraId="3CF9CC67" w14:textId="091BD5F5" w:rsidR="005E5F75" w:rsidRPr="00751135" w:rsidRDefault="005E5F75" w:rsidP="005E5F75">
            <w:pPr>
              <w:jc w:val="both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Proceso formal de gestión de cambios, priorización en backlog</w:t>
            </w:r>
          </w:p>
        </w:tc>
      </w:tr>
      <w:tr w:rsidR="005E5F75" w14:paraId="626D44A3" w14:textId="77777777" w:rsidTr="005E5F75">
        <w:tc>
          <w:tcPr>
            <w:tcW w:w="1698" w:type="dxa"/>
          </w:tcPr>
          <w:p w14:paraId="241C073E" w14:textId="0BEBBB60" w:rsidR="005E5F75" w:rsidRPr="00751135" w:rsidRDefault="005E5F75" w:rsidP="005E5F75">
            <w:pPr>
              <w:jc w:val="center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R04</w:t>
            </w:r>
          </w:p>
        </w:tc>
        <w:tc>
          <w:tcPr>
            <w:tcW w:w="1699" w:type="dxa"/>
          </w:tcPr>
          <w:p w14:paraId="624E8B3F" w14:textId="6D7FFB28" w:rsidR="005E5F75" w:rsidRPr="00751135" w:rsidRDefault="005E5F75" w:rsidP="005E5F75">
            <w:pPr>
              <w:jc w:val="center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Retraso en aprobaciones de la Alcaldía</w:t>
            </w:r>
          </w:p>
        </w:tc>
        <w:tc>
          <w:tcPr>
            <w:tcW w:w="1699" w:type="dxa"/>
          </w:tcPr>
          <w:p w14:paraId="7A40D2CA" w14:textId="61D330F4" w:rsidR="005E5F75" w:rsidRPr="00751135" w:rsidRDefault="005E5F75" w:rsidP="005E5F75">
            <w:pPr>
              <w:jc w:val="center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Baja</w:t>
            </w:r>
          </w:p>
        </w:tc>
        <w:tc>
          <w:tcPr>
            <w:tcW w:w="1699" w:type="dxa"/>
          </w:tcPr>
          <w:p w14:paraId="23E38699" w14:textId="7E09F18E" w:rsidR="005E5F75" w:rsidRPr="00751135" w:rsidRDefault="005E5F75" w:rsidP="005E5F75">
            <w:pPr>
              <w:jc w:val="center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Medio</w:t>
            </w:r>
          </w:p>
        </w:tc>
        <w:tc>
          <w:tcPr>
            <w:tcW w:w="1699" w:type="dxa"/>
          </w:tcPr>
          <w:p w14:paraId="6AAF4EC1" w14:textId="5E84CA86" w:rsidR="005E5F75" w:rsidRPr="00751135" w:rsidRDefault="005E5F75" w:rsidP="005E5F75">
            <w:pPr>
              <w:jc w:val="both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Envío anticipado de documentos, seguimiento semanal</w:t>
            </w:r>
          </w:p>
        </w:tc>
      </w:tr>
      <w:tr w:rsidR="005E5F75" w14:paraId="75FE56AF" w14:textId="77777777" w:rsidTr="005E5F75">
        <w:tc>
          <w:tcPr>
            <w:tcW w:w="1698" w:type="dxa"/>
          </w:tcPr>
          <w:p w14:paraId="14EF0B17" w14:textId="275A4CED" w:rsidR="005E5F75" w:rsidRPr="00751135" w:rsidRDefault="005E5F75" w:rsidP="005E5F75">
            <w:pPr>
              <w:jc w:val="center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R05</w:t>
            </w:r>
          </w:p>
        </w:tc>
        <w:tc>
          <w:tcPr>
            <w:tcW w:w="1699" w:type="dxa"/>
          </w:tcPr>
          <w:p w14:paraId="31893E15" w14:textId="4E45D632" w:rsidR="005E5F75" w:rsidRPr="00751135" w:rsidRDefault="005E5F75" w:rsidP="005E5F75">
            <w:pPr>
              <w:jc w:val="center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Fallo en servidor o conectividad</w:t>
            </w:r>
          </w:p>
        </w:tc>
        <w:tc>
          <w:tcPr>
            <w:tcW w:w="1699" w:type="dxa"/>
          </w:tcPr>
          <w:p w14:paraId="791F8577" w14:textId="68371B8C" w:rsidR="005E5F75" w:rsidRPr="00751135" w:rsidRDefault="005E5F75" w:rsidP="005E5F75">
            <w:pPr>
              <w:jc w:val="center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Baja</w:t>
            </w:r>
          </w:p>
        </w:tc>
        <w:tc>
          <w:tcPr>
            <w:tcW w:w="1699" w:type="dxa"/>
          </w:tcPr>
          <w:p w14:paraId="49501E44" w14:textId="2528AC78" w:rsidR="005E5F75" w:rsidRPr="00751135" w:rsidRDefault="005E5F75" w:rsidP="005E5F75">
            <w:pPr>
              <w:jc w:val="center"/>
              <w:rPr>
                <w:rFonts w:ascii="Calibri" w:hAnsi="Calibri" w:cs="Calibri"/>
              </w:rPr>
            </w:pPr>
            <w:r w:rsidRPr="00751135">
              <w:rPr>
                <w:rFonts w:ascii="Calibri" w:hAnsi="Calibri" w:cs="Calibri"/>
              </w:rPr>
              <w:t>Alto</w:t>
            </w:r>
          </w:p>
        </w:tc>
        <w:tc>
          <w:tcPr>
            <w:tcW w:w="1699" w:type="dxa"/>
          </w:tcPr>
          <w:p w14:paraId="21A5F03F" w14:textId="246D2C92" w:rsidR="005E5F75" w:rsidRPr="00751135" w:rsidRDefault="005E5F75" w:rsidP="005E5F75">
            <w:pPr>
              <w:jc w:val="both"/>
              <w:rPr>
                <w:rFonts w:ascii="Calibri" w:hAnsi="Calibri" w:cs="Calibri"/>
              </w:rPr>
            </w:pPr>
            <w:proofErr w:type="spellStart"/>
            <w:r w:rsidRPr="00751135">
              <w:rPr>
                <w:rFonts w:ascii="Calibri" w:hAnsi="Calibri" w:cs="Calibri"/>
              </w:rPr>
              <w:t>Backups</w:t>
            </w:r>
            <w:proofErr w:type="spellEnd"/>
            <w:r w:rsidRPr="00751135">
              <w:rPr>
                <w:rFonts w:ascii="Calibri" w:hAnsi="Calibri" w:cs="Calibri"/>
              </w:rPr>
              <w:t xml:space="preserve"> diarios, plan de contingencia de infraestructura</w:t>
            </w:r>
          </w:p>
        </w:tc>
      </w:tr>
    </w:tbl>
    <w:p w14:paraId="754C0BAA" w14:textId="77777777" w:rsidR="005E5F75" w:rsidRDefault="005E5F75"/>
    <w:sectPr w:rsidR="005E5F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F75"/>
    <w:rsid w:val="004D1EC4"/>
    <w:rsid w:val="005E5F75"/>
    <w:rsid w:val="00751135"/>
    <w:rsid w:val="00937BAF"/>
    <w:rsid w:val="00E57089"/>
    <w:rsid w:val="00F5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EE0CB"/>
  <w15:chartTrackingRefBased/>
  <w15:docId w15:val="{DCABD543-5BDD-479F-86F1-569E6AF94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5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E5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F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F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F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F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F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F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F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F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F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F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F7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E5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7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554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2</cp:revision>
  <dcterms:created xsi:type="dcterms:W3CDTF">2026-06-15T03:35:00Z</dcterms:created>
  <dcterms:modified xsi:type="dcterms:W3CDTF">2026-06-16T23:36:00Z</dcterms:modified>
</cp:coreProperties>
</file>