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发错货（虾淘售后sop）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🧱 模块一：受理边界与工单核准 (10秒排错)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当前定位工单：</w:t>
      </w:r>
      <w:r>
        <w:rPr>
          <w:rFonts w:eastAsia="等线" w:ascii="Arial" w:cs="Arial" w:hAnsi="Arial"/>
          <w:sz w:val="22"/>
        </w:rPr>
        <w:t xml:space="preserve"> 【发错货】 </w:t>
      </w:r>
      <w:r>
        <w:rPr>
          <w:rFonts w:eastAsia="等线" w:ascii="Arial" w:cs="Arial" w:hAnsi="Arial"/>
          <w:b w:val="true"/>
          <w:sz w:val="22"/>
        </w:rPr>
        <w:t>一句话定义：</w:t>
      </w:r>
      <w:r>
        <w:rPr>
          <w:rFonts w:eastAsia="等线" w:ascii="Arial" w:cs="Arial" w:hAnsi="Arial"/>
          <w:sz w:val="22"/>
        </w:rPr>
        <w:t xml:space="preserve"> 用户收到快递了，但收到的商品不是自己买的（</w:t>
      </w:r>
      <w:r>
        <w:rPr>
          <w:rFonts w:eastAsia="等线" w:ascii="Arial" w:cs="Arial" w:hAnsi="Arial"/>
          <w:b w:val="true"/>
          <w:sz w:val="22"/>
        </w:rPr>
        <w:t>“少了原本的，多了别人的”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🔀 异常转移流转（看到立刻改类目）：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用户说“我少收了一个”，但</w:t>
      </w:r>
      <w:r>
        <w:rPr>
          <w:rFonts w:eastAsia="等线" w:ascii="Arial" w:cs="Arial" w:hAnsi="Arial"/>
          <w:b w:val="true"/>
          <w:sz w:val="22"/>
        </w:rPr>
        <w:t>没有</w:t>
      </w:r>
      <w:r>
        <w:rPr>
          <w:rFonts w:eastAsia="等线" w:ascii="Arial" w:cs="Arial" w:hAnsi="Arial"/>
          <w:sz w:val="22"/>
        </w:rPr>
        <w:t xml:space="preserve">收到多余的错误商品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转移至 </w:t>
      </w:r>
      <w:r>
        <w:rPr>
          <w:rFonts w:eastAsia="等线" w:ascii="Arial" w:cs="Arial" w:hAnsi="Arial"/>
          <w:b w:val="true"/>
          <w:sz w:val="22"/>
        </w:rPr>
        <w:t>【漏发货】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用户说“我申请发货的时候勾错地址了”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转移至 </w:t>
      </w:r>
      <w:r>
        <w:rPr>
          <w:rFonts w:eastAsia="等线" w:ascii="Arial" w:cs="Arial" w:hAnsi="Arial"/>
          <w:b w:val="true"/>
          <w:sz w:val="22"/>
        </w:rPr>
        <w:t>【修改收货地址】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🔍 模块二：核心凭证核验（防骗专属 Checklist）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第一步：首选核对开箱视频（必须同时满足以下3点）：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一镜到底：</w:t>
      </w:r>
      <w:r>
        <w:rPr>
          <w:rFonts w:eastAsia="等线" w:ascii="Arial" w:cs="Arial" w:hAnsi="Arial"/>
          <w:sz w:val="22"/>
        </w:rPr>
        <w:t xml:space="preserve"> 视频不能有任何剪辑、拼接痕迹，包裹始终在镜头内。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完整未拆：</w:t>
      </w:r>
      <w:r>
        <w:rPr>
          <w:rFonts w:eastAsia="等线" w:ascii="Arial" w:cs="Arial" w:hAnsi="Arial"/>
          <w:sz w:val="22"/>
        </w:rPr>
        <w:t xml:space="preserve"> 必须清晰展示【未拆封的快递盒】及【快递面单】。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直击现场：</w:t>
      </w:r>
      <w:r>
        <w:rPr>
          <w:rFonts w:eastAsia="等线" w:ascii="Arial" w:cs="Arial" w:hAnsi="Arial"/>
          <w:sz w:val="22"/>
        </w:rPr>
        <w:t xml:space="preserve"> 视频内能清晰看到拆包后的“到手商品款式”以及“绿色自封袋面单”。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（异常动作）：如果视频缺失或不合规，立刻回复话术：“咪您好，麻烦您提供一下完整的开箱视频（需一镜到底并展示未拆封的快递面单）以便客服为您尽快核实。若无完整开箱，核实流程会比较长，还需您耐心等待~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第二步：无视频的降级核验（极度严格的截图比对）：</w:t>
      </w:r>
      <w:r>
        <w:rPr>
          <w:rFonts w:eastAsia="等线" w:ascii="Arial" w:cs="Arial" w:hAnsi="Arial"/>
          <w:sz w:val="22"/>
        </w:rPr>
        <w:t xml:space="preserve"> 如果用户明确表示“就是没有拍视频”，必须向用户索要</w:t>
      </w:r>
      <w:r>
        <w:rPr>
          <w:rFonts w:eastAsia="等线" w:ascii="Arial" w:cs="Arial" w:hAnsi="Arial"/>
          <w:b w:val="true"/>
          <w:sz w:val="22"/>
        </w:rPr>
        <w:t>双重静态凭证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必须提供：所有到手实物的</w:t>
      </w:r>
      <w:r>
        <w:rPr>
          <w:rFonts w:eastAsia="等线" w:ascii="Arial" w:cs="Arial" w:hAnsi="Arial"/>
          <w:b w:val="true"/>
          <w:sz w:val="22"/>
        </w:rPr>
        <w:t>全家福平铺图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必须提供：</w:t>
      </w:r>
      <w:r>
        <w:rPr>
          <w:rFonts w:eastAsia="等线" w:ascii="Arial" w:cs="Arial" w:hAnsi="Arial"/>
          <w:b w:val="true"/>
          <w:sz w:val="22"/>
        </w:rPr>
        <w:t>绿色自封袋上的面单清晰照片</w:t>
      </w:r>
      <w:r>
        <w:rPr>
          <w:rFonts w:eastAsia="等线" w:ascii="Arial" w:cs="Arial" w:hAnsi="Arial"/>
          <w:sz w:val="22"/>
        </w:rPr>
        <w:t>（用于核实仓库实际打包记录）。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第三步：比对核实与特殊情况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常规判定：</w:t>
      </w:r>
      <w:r>
        <w:rPr>
          <w:rFonts w:eastAsia="等线" w:ascii="Arial" w:cs="Arial" w:hAnsi="Arial"/>
          <w:sz w:val="22"/>
        </w:rPr>
        <w:t xml:space="preserve"> 将视频/图片中的实物与工单内的PT订单明细进行比对，确实不符，进入发卡流程。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绿灯特例（光栅）：</w:t>
      </w:r>
      <w:r>
        <w:rPr>
          <w:rFonts w:eastAsia="等线" w:ascii="Arial" w:cs="Arial" w:hAnsi="Arial"/>
          <w:sz w:val="22"/>
        </w:rPr>
        <w:t xml:space="preserve"> 含有【光栅】字样的商品，换角度有不同柄图属正常现象，</w:t>
      </w:r>
      <w:r>
        <w:rPr>
          <w:rFonts w:eastAsia="等线" w:ascii="Arial" w:cs="Arial" w:hAnsi="Arial"/>
          <w:b w:val="true"/>
          <w:sz w:val="22"/>
        </w:rPr>
        <w:t>并非错发</w:t>
      </w:r>
      <w:r>
        <w:rPr>
          <w:rFonts w:eastAsia="等线" w:ascii="Arial" w:cs="Arial" w:hAnsi="Arial"/>
          <w:sz w:val="22"/>
        </w:rPr>
        <w:t>，向用户解释即可。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黄灯特例（隐藏款）：</w:t>
      </w:r>
      <w:r>
        <w:rPr>
          <w:rFonts w:eastAsia="等线" w:ascii="Arial" w:cs="Arial" w:hAnsi="Arial"/>
          <w:sz w:val="22"/>
        </w:rPr>
        <w:t xml:space="preserve"> 用户不清楚隐藏款长什么样，需【提交答疑】让全职向仓库核实是否发错。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🌳 模块三：操作决策树（系统发卡与自动补发）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一旦凭证核对确认确实为仓库错发（含部分错发/整单错发），</w:t>
      </w:r>
      <w:r>
        <w:rPr>
          <w:rFonts w:eastAsia="等线" w:ascii="Arial" w:cs="Arial" w:hAnsi="Arial"/>
          <w:b w:val="true"/>
          <w:sz w:val="22"/>
        </w:rPr>
        <w:t>不再需要手工询问地址和登记表格</w:t>
      </w:r>
      <w:r>
        <w:rPr>
          <w:rFonts w:eastAsia="等线" w:ascii="Arial" w:cs="Arial" w:hAnsi="Arial"/>
          <w:sz w:val="22"/>
        </w:rPr>
        <w:t>，全面走系统流程：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✅ 分支 A：发起错发换货（优先流程）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点击工单内底部的 </w:t>
      </w:r>
      <w:r>
        <w:rPr>
          <w:rFonts w:eastAsia="等线" w:ascii="Arial" w:cs="Arial" w:hAnsi="Arial"/>
          <w:b w:val="true"/>
          <w:sz w:val="22"/>
        </w:rPr>
        <w:t>申请售后</w:t>
      </w:r>
      <w:r>
        <w:rPr>
          <w:rFonts w:eastAsia="等线" w:ascii="Arial" w:cs="Arial" w:hAnsi="Arial"/>
          <w:sz w:val="22"/>
        </w:rPr>
        <w:t xml:space="preserve"> ➔ 在系统弹窗中勾选用户反馈的【错发商品】。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观察是否可以提交：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🟢 </w:t>
      </w:r>
      <w:r>
        <w:rPr>
          <w:rFonts w:eastAsia="等线" w:ascii="Arial" w:cs="Arial" w:hAnsi="Arial"/>
          <w:b w:val="true"/>
          <w:sz w:val="22"/>
        </w:rPr>
        <w:t>若系统未显示无库存：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直接发送卡片，让用户自行按卡片指引寄回错发商品并上传邮费截图。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“咪您好，很抱歉仓库打包失误给您寄错了商品。这边已为您开启专属换货通道，麻烦点击下方卡片，按提示将错发商品寄回。仓库收到退件核实无误后，系统会自动为您生成正确的补发订单并安排发货的哦~”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🔴 分支 B：触发无货拦截（系统转退款）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如果在发起换货勾选商品时，系统弹出提示“无库存/库存不足”。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关闭换货窗口，改为点击 </w:t>
      </w:r>
      <w:r>
        <w:rPr>
          <w:rFonts w:eastAsia="等线" w:ascii="Arial" w:cs="Arial" w:hAnsi="Arial"/>
          <w:b w:val="true"/>
          <w:sz w:val="22"/>
        </w:rPr>
        <w:t>【发送退货退款卡片】</w:t>
      </w:r>
      <w:r>
        <w:rPr>
          <w:rFonts w:eastAsia="等线" w:ascii="Arial" w:cs="Arial" w:hAnsi="Arial"/>
          <w:sz w:val="22"/>
        </w:rPr>
        <w:t xml:space="preserve"> 发送给用户。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非常抱歉仓库失误给您发错了商品。刚刚为您向系统申请补发时，发现您原本正确的商品仓库已经没有备品库存了。为了不耽误您的时间，这边为您开启了退货退款通道，麻烦点击下方卡片寄回错发商品，我们会为您办理退款及邮费报销，实在抱歉让您留下了遗憾的体验~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🔗 模块四：等待用户回传与最终审核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当用户填好寄回的物流单号和邮费截图并提交后，工单会转为中间状态。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当用户填好退换货卡片后，工单会提示待审核。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客服动作：</w:t>
      </w:r>
      <w:r>
        <w:rPr>
          <w:rFonts w:eastAsia="等线" w:ascii="Arial" w:cs="Arial" w:hAnsi="Arial"/>
          <w:sz w:val="22"/>
        </w:rPr>
        <w:t xml:space="preserve"> 仅核对“用户上传的邮费截图金额”与“填写的金额”是否一致。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流转：</w:t>
      </w:r>
      <w:r>
        <w:rPr>
          <w:rFonts w:eastAsia="等线" w:ascii="Arial" w:cs="Arial" w:hAnsi="Arial"/>
          <w:sz w:val="22"/>
        </w:rPr>
        <w:t xml:space="preserve"> 一致则点击【审核通过】。工单将自动流转至仓库和财务，</w:t>
      </w:r>
      <w:r>
        <w:rPr>
          <w:rFonts w:eastAsia="等线" w:ascii="Arial" w:cs="Arial" w:hAnsi="Arial"/>
          <w:b w:val="true"/>
          <w:sz w:val="22"/>
        </w:rPr>
        <w:t>本工单处理结束，无需继续挂起追踪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更详细的操作方法：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退回商品的邮费审核 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6371">
    <w:lvl>
      <w:numFmt w:val="bullet"/>
      <w:suff w:val="tab"/>
      <w:lvlText w:val="•"/>
      <w:rPr>
        <w:color w:val="3370ff"/>
      </w:rPr>
    </w:lvl>
  </w:abstractNum>
  <w:abstractNum w:abstractNumId="1096372">
    <w:lvl>
      <w:numFmt w:val="bullet"/>
      <w:suff w:val="tab"/>
      <w:lvlText w:val="•"/>
      <w:rPr>
        <w:color w:val="3370ff"/>
      </w:rPr>
    </w:lvl>
  </w:abstractNum>
  <w:abstractNum w:abstractNumId="1096373">
    <w:lvl>
      <w:numFmt w:val="bullet"/>
      <w:suff w:val="tab"/>
      <w:lvlText w:val="•"/>
      <w:rPr>
        <w:color w:val="3370ff"/>
      </w:rPr>
    </w:lvl>
  </w:abstractNum>
  <w:abstractNum w:abstractNumId="1096374">
    <w:lvl>
      <w:numFmt w:val="bullet"/>
      <w:suff w:val="tab"/>
      <w:lvlText w:val="•"/>
      <w:rPr>
        <w:color w:val="3370ff"/>
      </w:rPr>
    </w:lvl>
  </w:abstractNum>
  <w:abstractNum w:abstractNumId="1096375">
    <w:lvl>
      <w:numFmt w:val="bullet"/>
      <w:suff w:val="tab"/>
      <w:lvlText w:val="•"/>
      <w:rPr>
        <w:color w:val="3370ff"/>
      </w:rPr>
    </w:lvl>
  </w:abstractNum>
  <w:abstractNum w:abstractNumId="1096376">
    <w:lvl>
      <w:numFmt w:val="bullet"/>
      <w:suff w:val="tab"/>
      <w:lvlText w:val="•"/>
      <w:rPr>
        <w:color w:val="3370ff"/>
      </w:rPr>
    </w:lvl>
  </w:abstractNum>
  <w:abstractNum w:abstractNumId="1096377">
    <w:lvl>
      <w:numFmt w:val="bullet"/>
      <w:suff w:val="tab"/>
      <w:lvlText w:val="•"/>
      <w:rPr>
        <w:color w:val="3370ff"/>
      </w:rPr>
    </w:lvl>
  </w:abstractNum>
  <w:abstractNum w:abstractNumId="1096378">
    <w:lvl>
      <w:numFmt w:val="bullet"/>
      <w:suff w:val="tab"/>
      <w:lvlText w:val="•"/>
      <w:rPr>
        <w:color w:val="3370ff"/>
      </w:rPr>
    </w:lvl>
  </w:abstractNum>
  <w:abstractNum w:abstractNumId="1096379">
    <w:lvl>
      <w:numFmt w:val="bullet"/>
      <w:suff w:val="tab"/>
      <w:lvlText w:val="•"/>
      <w:rPr>
        <w:color w:val="3370ff"/>
      </w:rPr>
    </w:lvl>
  </w:abstractNum>
  <w:abstractNum w:abstractNumId="1096380">
    <w:lvl>
      <w:numFmt w:val="bullet"/>
      <w:suff w:val="tab"/>
      <w:lvlText w:val="•"/>
      <w:rPr>
        <w:color w:val="3370ff"/>
      </w:rPr>
    </w:lvl>
  </w:abstractNum>
  <w:abstractNum w:abstractNumId="1096381">
    <w:lvl>
      <w:numFmt w:val="bullet"/>
      <w:suff w:val="tab"/>
      <w:lvlText w:val="•"/>
      <w:rPr>
        <w:color w:val="3370ff"/>
      </w:rPr>
    </w:lvl>
  </w:abstractNum>
  <w:abstractNum w:abstractNumId="1096382">
    <w:lvl>
      <w:numFmt w:val="bullet"/>
      <w:suff w:val="tab"/>
      <w:lvlText w:val="•"/>
      <w:rPr>
        <w:color w:val="3370ff"/>
      </w:rPr>
    </w:lvl>
  </w:abstractNum>
  <w:abstractNum w:abstractNumId="1096383">
    <w:lvl>
      <w:numFmt w:val="bullet"/>
      <w:suff w:val="tab"/>
      <w:lvlText w:val="•"/>
      <w:rPr>
        <w:color w:val="3370ff"/>
      </w:rPr>
    </w:lvl>
  </w:abstractNum>
  <w:abstractNum w:abstractNumId="1096384">
    <w:lvl>
      <w:numFmt w:val="bullet"/>
      <w:suff w:val="tab"/>
      <w:lvlText w:val="￮"/>
      <w:rPr>
        <w:color w:val="3370ff"/>
      </w:rPr>
    </w:lvl>
  </w:abstractNum>
  <w:abstractNum w:abstractNumId="1096385">
    <w:lvl>
      <w:numFmt w:val="bullet"/>
      <w:suff w:val="tab"/>
      <w:lvlText w:val="▪"/>
      <w:rPr>
        <w:color w:val="3370ff"/>
        <w:sz w:val="11"/>
      </w:rPr>
    </w:lvl>
  </w:abstractNum>
  <w:abstractNum w:abstractNumId="1096386">
    <w:lvl>
      <w:numFmt w:val="bullet"/>
      <w:suff w:val="tab"/>
      <w:lvlText w:val="▪"/>
      <w:rPr>
        <w:color w:val="3370ff"/>
        <w:sz w:val="11"/>
      </w:rPr>
    </w:lvl>
  </w:abstractNum>
  <w:abstractNum w:abstractNumId="1096387">
    <w:lvl>
      <w:numFmt w:val="bullet"/>
      <w:suff w:val="tab"/>
      <w:lvlText w:val="•"/>
      <w:rPr>
        <w:color w:val="3370ff"/>
      </w:rPr>
    </w:lvl>
  </w:abstractNum>
  <w:abstractNum w:abstractNumId="1096388">
    <w:lvl>
      <w:numFmt w:val="bullet"/>
      <w:suff w:val="tab"/>
      <w:lvlText w:val="•"/>
      <w:rPr>
        <w:color w:val="3370ff"/>
      </w:rPr>
    </w:lvl>
  </w:abstractNum>
  <w:abstractNum w:abstractNumId="1096389">
    <w:lvl>
      <w:numFmt w:val="bullet"/>
      <w:suff w:val="tab"/>
      <w:lvlText w:val="•"/>
      <w:rPr>
        <w:color w:val="3370ff"/>
      </w:rPr>
    </w:lvl>
  </w:abstractNum>
  <w:abstractNum w:abstractNumId="1096390">
    <w:lvl>
      <w:numFmt w:val="bullet"/>
      <w:suff w:val="tab"/>
      <w:lvlText w:val="•"/>
      <w:rPr>
        <w:color w:val="3370ff"/>
      </w:rPr>
    </w:lvl>
  </w:abstractNum>
  <w:abstractNum w:abstractNumId="1096391">
    <w:lvl>
      <w:numFmt w:val="bullet"/>
      <w:suff w:val="tab"/>
      <w:lvlText w:val="•"/>
      <w:rPr>
        <w:color w:val="3370ff"/>
      </w:rPr>
    </w:lvl>
  </w:abstractNum>
  <w:abstractNum w:abstractNumId="1096392">
    <w:lvl>
      <w:numFmt w:val="bullet"/>
      <w:suff w:val="tab"/>
      <w:lvlText w:val="•"/>
      <w:rPr>
        <w:color w:val="3370ff"/>
      </w:rPr>
    </w:lvl>
  </w:abstractNum>
  <w:abstractNum w:abstractNumId="1096393">
    <w:lvl>
      <w:numFmt w:val="bullet"/>
      <w:suff w:val="tab"/>
      <w:lvlText w:val="•"/>
      <w:rPr>
        <w:color w:val="3370ff"/>
      </w:rPr>
    </w:lvl>
  </w:abstractNum>
  <w:num w:numId="1">
    <w:abstractNumId w:val="1096371"/>
  </w:num>
  <w:num w:numId="2">
    <w:abstractNumId w:val="1096372"/>
  </w:num>
  <w:num w:numId="3">
    <w:abstractNumId w:val="1096373"/>
  </w:num>
  <w:num w:numId="4">
    <w:abstractNumId w:val="1096374"/>
  </w:num>
  <w:num w:numId="5">
    <w:abstractNumId w:val="1096375"/>
  </w:num>
  <w:num w:numId="6">
    <w:abstractNumId w:val="1096376"/>
  </w:num>
  <w:num w:numId="7">
    <w:abstractNumId w:val="1096377"/>
  </w:num>
  <w:num w:numId="8">
    <w:abstractNumId w:val="1096378"/>
  </w:num>
  <w:num w:numId="9">
    <w:abstractNumId w:val="1096379"/>
  </w:num>
  <w:num w:numId="10">
    <w:abstractNumId w:val="1096380"/>
  </w:num>
  <w:num w:numId="11">
    <w:abstractNumId w:val="1096381"/>
  </w:num>
  <w:num w:numId="12">
    <w:abstractNumId w:val="1096382"/>
  </w:num>
  <w:num w:numId="13">
    <w:abstractNumId w:val="1096383"/>
  </w:num>
  <w:num w:numId="14">
    <w:abstractNumId w:val="1096384"/>
  </w:num>
  <w:num w:numId="15">
    <w:abstractNumId w:val="1096385"/>
  </w:num>
  <w:num w:numId="16">
    <w:abstractNumId w:val="1096386"/>
  </w:num>
  <w:num w:numId="17">
    <w:abstractNumId w:val="1096387"/>
  </w:num>
  <w:num w:numId="18">
    <w:abstractNumId w:val="1096388"/>
  </w:num>
  <w:num w:numId="19">
    <w:abstractNumId w:val="1096389"/>
  </w:num>
  <w:num w:numId="20">
    <w:abstractNumId w:val="1096390"/>
  </w:num>
  <w:num w:numId="21">
    <w:abstractNumId w:val="1096391"/>
  </w:num>
  <w:num w:numId="22">
    <w:abstractNumId w:val="1096392"/>
  </w:num>
  <w:num w:numId="23">
    <w:abstractNumId w:val="1096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ttps://mitakoxiatao.feishu.cn/wiki/OaJswRITciksPWk0qQscTppGnrg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2026-06-11T08:32:42Z</dcterms:created>
  <dc:creator>Apache POI</dc:creator>
</cp:coreProperties>
</file>