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申请退款（虾淘售后SOP）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回目录链接：</w:t>
      </w:r>
      <w:hyperlink r:id="rId4">
        <w:r>
          <w:rPr>
            <w:rFonts w:eastAsia="等线" w:ascii="Arial" w:cs="Arial" w:hAnsi="Arial"/>
            <w:color w:val="3370ff"/>
            <w:sz w:val="22"/>
          </w:rPr>
          <w:t>虾淘新版后台操作指南目录</w:t>
        </w:r>
      </w:hyperlink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🧱 模块一：受理边界与工单核准 (Checklist)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当前定位工单：</w:t>
      </w:r>
      <w:r>
        <w:rPr>
          <w:rFonts w:eastAsia="等线" w:ascii="Arial" w:cs="Arial" w:hAnsi="Arial"/>
          <w:sz w:val="22"/>
        </w:rPr>
        <w:t xml:space="preserve"> 【申请退款】 </w:t>
      </w:r>
      <w:r>
        <w:rPr>
          <w:rFonts w:eastAsia="等线" w:ascii="Arial" w:cs="Arial" w:hAnsi="Arial"/>
          <w:b w:val="true"/>
          <w:sz w:val="22"/>
        </w:rPr>
        <w:t>一句话定义：</w:t>
      </w:r>
      <w:r>
        <w:rPr>
          <w:rFonts w:eastAsia="等线" w:ascii="Arial" w:cs="Arial" w:hAnsi="Arial"/>
          <w:sz w:val="22"/>
        </w:rPr>
        <w:t xml:space="preserve"> 用户购买商品后，因</w:t>
      </w:r>
      <w:r>
        <w:rPr>
          <w:rFonts w:eastAsia="等线" w:ascii="Arial" w:cs="Arial" w:hAnsi="Arial"/>
          <w:b w:val="true"/>
          <w:sz w:val="22"/>
        </w:rPr>
        <w:t>个人主观原因</w:t>
      </w:r>
      <w:r>
        <w:rPr>
          <w:rFonts w:eastAsia="等线" w:ascii="Arial" w:cs="Arial" w:hAnsi="Arial"/>
          <w:sz w:val="22"/>
        </w:rPr>
        <w:t>（如：不想要了、下错单、冲动消费等）提出的退款申请。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受理条件核验（必须排除其他售后问题）：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诉求确实为退货/退款。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[ ] </w:t>
      </w:r>
      <w:r>
        <w:rPr>
          <w:rFonts w:eastAsia="等线" w:ascii="Arial" w:cs="Arial" w:hAnsi="Arial"/>
          <w:b w:val="true"/>
          <w:sz w:val="22"/>
        </w:rPr>
        <w:t>不是</w:t>
      </w:r>
      <w:r>
        <w:rPr>
          <w:rFonts w:eastAsia="等线" w:ascii="Arial" w:cs="Arial" w:hAnsi="Arial"/>
          <w:sz w:val="22"/>
        </w:rPr>
        <w:t>因为商品瑕疵或破损。（如果是，说明走错门了）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[ ] </w:t>
      </w:r>
      <w:r>
        <w:rPr>
          <w:rFonts w:eastAsia="等线" w:ascii="Arial" w:cs="Arial" w:hAnsi="Arial"/>
          <w:b w:val="true"/>
          <w:sz w:val="22"/>
        </w:rPr>
        <w:t>不是</w:t>
      </w:r>
      <w:r>
        <w:rPr>
          <w:rFonts w:eastAsia="等线" w:ascii="Arial" w:cs="Arial" w:hAnsi="Arial"/>
          <w:sz w:val="22"/>
        </w:rPr>
        <w:t>因为快递长时间停滞/丢件。（如果是，说明走错门了）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[ ] </w:t>
      </w:r>
      <w:r>
        <w:rPr>
          <w:rFonts w:eastAsia="等线" w:ascii="Arial" w:cs="Arial" w:hAnsi="Arial"/>
          <w:b w:val="true"/>
          <w:sz w:val="22"/>
        </w:rPr>
        <w:t>不是</w:t>
      </w:r>
      <w:r>
        <w:rPr>
          <w:rFonts w:eastAsia="等线" w:ascii="Arial" w:cs="Arial" w:hAnsi="Arial"/>
          <w:sz w:val="22"/>
        </w:rPr>
        <w:t>因为收到的东西少了或发错了。（如果是，说明走错门了）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🔀 异常转移流转（操作：点击工单类型旁的小铅笔✎修改）：</w:t>
      </w:r>
      <w:r>
        <w:rPr>
          <w:rFonts w:eastAsia="等线" w:ascii="Arial" w:cs="Arial" w:hAnsi="Arial"/>
          <w:sz w:val="22"/>
        </w:rPr>
        <w:t xml:space="preserve"> 外包客服一旦发现退款理由包含以下关键词，立刻执行转移，</w:t>
      </w:r>
      <w:r>
        <w:rPr>
          <w:rFonts w:eastAsia="等线" w:ascii="Arial" w:cs="Arial" w:hAnsi="Arial"/>
          <w:b w:val="true"/>
          <w:sz w:val="22"/>
        </w:rPr>
        <w:t>不在当前类型下处理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IF</w:t>
      </w:r>
      <w:r>
        <w:rPr>
          <w:rFonts w:eastAsia="等线" w:ascii="Arial" w:cs="Arial" w:hAnsi="Arial"/>
          <w:sz w:val="22"/>
        </w:rPr>
        <w:t xml:space="preserve"> 用户说“东西坏了/有划痕/印错了，我要退款” ➔ </w:t>
      </w:r>
      <w:r>
        <w:rPr>
          <w:rFonts w:eastAsia="等线" w:ascii="Arial" w:cs="Arial" w:hAnsi="Arial"/>
          <w:b w:val="true"/>
          <w:sz w:val="22"/>
        </w:rPr>
        <w:t>THEN</w:t>
      </w:r>
      <w:r>
        <w:rPr>
          <w:rFonts w:eastAsia="等线" w:ascii="Arial" w:cs="Arial" w:hAnsi="Arial"/>
          <w:sz w:val="22"/>
        </w:rPr>
        <w:t xml:space="preserve"> 重新分类至 </w:t>
      </w:r>
      <w:r>
        <w:rPr>
          <w:rFonts w:eastAsia="等线" w:ascii="Arial" w:cs="Arial" w:hAnsi="Arial"/>
          <w:b w:val="true"/>
          <w:sz w:val="22"/>
        </w:rPr>
        <w:t>【商品有伤初步判定】</w:t>
      </w:r>
      <w:r>
        <w:rPr>
          <w:rFonts w:eastAsia="等线" w:ascii="Arial" w:cs="Arial" w:hAnsi="Arial"/>
          <w:sz w:val="22"/>
        </w:rPr>
        <w:t xml:space="preserve"> * </w:t>
      </w:r>
      <w:r>
        <w:rPr>
          <w:rFonts w:eastAsia="等线" w:ascii="Arial" w:cs="Arial" w:hAnsi="Arial"/>
          <w:b w:val="true"/>
          <w:sz w:val="22"/>
        </w:rPr>
        <w:t>IF</w:t>
      </w:r>
      <w:r>
        <w:rPr>
          <w:rFonts w:eastAsia="等线" w:ascii="Arial" w:cs="Arial" w:hAnsi="Arial"/>
          <w:sz w:val="22"/>
        </w:rPr>
        <w:t xml:space="preserve"> 用户说“快递卡了半个月没动静/显示签收但没收到，我要退款” ➔ </w:t>
      </w:r>
      <w:r>
        <w:rPr>
          <w:rFonts w:eastAsia="等线" w:ascii="Arial" w:cs="Arial" w:hAnsi="Arial"/>
          <w:b w:val="true"/>
          <w:sz w:val="22"/>
        </w:rPr>
        <w:t>THEN</w:t>
      </w:r>
      <w:r>
        <w:rPr>
          <w:rFonts w:eastAsia="等线" w:ascii="Arial" w:cs="Arial" w:hAnsi="Arial"/>
          <w:sz w:val="22"/>
        </w:rPr>
        <w:t xml:space="preserve"> 重新分类至 </w:t>
      </w:r>
      <w:r>
        <w:rPr>
          <w:rFonts w:eastAsia="等线" w:ascii="Arial" w:cs="Arial" w:hAnsi="Arial"/>
          <w:b w:val="true"/>
          <w:sz w:val="22"/>
        </w:rPr>
        <w:t>【快递物流异常/无物流】</w:t>
      </w:r>
      <w:r>
        <w:rPr>
          <w:rFonts w:eastAsia="等线" w:ascii="Arial" w:cs="Arial" w:hAnsi="Arial"/>
          <w:sz w:val="22"/>
        </w:rPr>
        <w:t xml:space="preserve"> * </w:t>
      </w:r>
      <w:r>
        <w:rPr>
          <w:rFonts w:eastAsia="等线" w:ascii="Arial" w:cs="Arial" w:hAnsi="Arial"/>
          <w:b w:val="true"/>
          <w:sz w:val="22"/>
        </w:rPr>
        <w:t>IF</w:t>
      </w:r>
      <w:r>
        <w:rPr>
          <w:rFonts w:eastAsia="等线" w:ascii="Arial" w:cs="Arial" w:hAnsi="Arial"/>
          <w:sz w:val="22"/>
        </w:rPr>
        <w:t xml:space="preserve"> 用户说“少发了一个吧唧/发成别人的盲盒了，我要退款” ➔ </w:t>
      </w:r>
      <w:r>
        <w:rPr>
          <w:rFonts w:eastAsia="等线" w:ascii="Arial" w:cs="Arial" w:hAnsi="Arial"/>
          <w:b w:val="true"/>
          <w:sz w:val="22"/>
        </w:rPr>
        <w:t>THEN</w:t>
      </w:r>
      <w:r>
        <w:rPr>
          <w:rFonts w:eastAsia="等线" w:ascii="Arial" w:cs="Arial" w:hAnsi="Arial"/>
          <w:sz w:val="22"/>
        </w:rPr>
        <w:t xml:space="preserve"> 重新分类至 </w:t>
      </w:r>
      <w:r>
        <w:rPr>
          <w:rFonts w:eastAsia="等线" w:ascii="Arial" w:cs="Arial" w:hAnsi="Arial"/>
          <w:b w:val="true"/>
          <w:sz w:val="22"/>
        </w:rPr>
        <w:t>【漏发货】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等线" w:ascii="Arial" w:cs="Arial" w:hAnsi="Arial"/>
          <w:b w:val="true"/>
          <w:sz w:val="22"/>
        </w:rPr>
        <w:t>【发错货】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（操作指引：点击小铅笔重新选择工单类型 ➔ 点击确认 ➔ 工单直接转移，无需回复用户）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337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🌳 模块二：核心操作流程（系统预判制）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外包客服无需查阅历史规则，统一点击后台 </w:t>
      </w:r>
      <w:r>
        <w:rPr>
          <w:rFonts w:eastAsia="等线" w:ascii="Arial" w:cs="Arial" w:hAnsi="Arial"/>
          <w:b w:val="true"/>
          <w:sz w:val="22"/>
        </w:rPr>
        <w:t>【查看详情】</w:t>
      </w:r>
      <w:r>
        <w:rPr>
          <w:rFonts w:eastAsia="等线" w:ascii="Arial" w:cs="Arial" w:hAnsi="Arial"/>
          <w:sz w:val="22"/>
        </w:rPr>
        <w:t xml:space="preserve"> 按钮，根据系统弹窗或状态栏显示的实时结果执行：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718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🟡 分支 A：系统显示“正在退款 / 处理中”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（说明：该订单之前已触发过退款流程，目前正在银行或支付渠道结算中）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862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【挂起工单】</w:t>
      </w:r>
      <w:r>
        <w:rPr>
          <w:rFonts w:eastAsia="等线" w:ascii="Arial" w:cs="Arial" w:hAnsi="Arial"/>
          <w:sz w:val="22"/>
        </w:rPr>
        <w:t>，无需再次发起退款。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回复话术：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i w:val="true"/>
          <w:sz w:val="22"/>
        </w:rPr>
        <w:t>“咪您好，核实到您的这笔订单已经在退款处理流程中了。由于银行和支付平台的结算需要一定时间，预计会在3-7个工作日内原路退回到您的支付账户，还请咪耐心等待一下，注意查收账单消息哦~”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🟢 分支 B：系统判定“可退款”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（说明：符合退款政策，且尚未发起退款）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操作：勾选可退款的商品，</w:t>
      </w:r>
      <w:r>
        <w:rPr>
          <w:rFonts w:eastAsia="等线" w:ascii="Arial" w:cs="Arial" w:hAnsi="Arial"/>
          <w:sz w:val="22"/>
        </w:rPr>
        <w:t xml:space="preserve"> 确认发送 </w:t>
      </w:r>
      <w:r>
        <w:rPr>
          <w:rFonts w:eastAsia="等线" w:ascii="Arial" w:cs="Arial" w:hAnsi="Arial"/>
          <w:b w:val="true"/>
          <w:sz w:val="22"/>
        </w:rPr>
        <w:t>【退款卡片】</w:t>
      </w:r>
      <w:r>
        <w:rPr>
          <w:rFonts w:eastAsia="等线" w:ascii="Arial" w:cs="Arial" w:hAnsi="Arial"/>
          <w:sz w:val="22"/>
        </w:rPr>
        <w:t xml:space="preserve"> 给用户。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147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流转：</w:t>
      </w:r>
      <w:r>
        <w:rPr>
          <w:rFonts w:eastAsia="等线" w:ascii="Arial" w:cs="Arial" w:hAnsi="Arial"/>
          <w:sz w:val="22"/>
        </w:rPr>
        <w:t xml:space="preserve"> 用户提交后，</w:t>
      </w:r>
      <w:r>
        <w:rPr>
          <w:rFonts w:eastAsia="等线" w:ascii="Arial" w:cs="Arial" w:hAnsi="Arial"/>
          <w:sz w:val="22"/>
        </w:rPr>
        <w:t>核实商品与金额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回复话术：</w:t>
      </w:r>
      <w:r>
        <w:rPr>
          <w:rFonts w:eastAsia="等线" w:ascii="Arial" w:cs="Arial" w:hAnsi="Arial"/>
          <w:sz w:val="22"/>
        </w:rPr>
        <w:t xml:space="preserve"> 无需手动打字，直接发送卡片自带话术。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🔴 分支 C：系统提示“无法发起 / 不符合条件”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（说明：盲抽已客化、单领已超期等）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【拒绝/完成工单】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回复话术：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盲抽类：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i w:val="true"/>
          <w:sz w:val="22"/>
        </w:rPr>
        <w:t>“ 妈咪您好，抽卡机、扭蛋机等盲抽类商品，由于抽出后结果无法改变，一经抽出即完成商品客化过程。目前系统核实该订单暂不符合退款条件，故无法办理退款哦，感谢您的理解~”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单领类：</w:t>
      </w: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i w:val="true"/>
          <w:sz w:val="22"/>
        </w:rPr>
        <w:t>“妈咪您好，单领商品已超过半小时自行退款时限/已过截单时间，系统退款通道已关闭，这边无法为您申请了哦~”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⚠️ 模块三：特殊情况处理（例外情况）</w:t>
      </w:r>
      <w:bookmarkEnd w:id="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退款金额小于1时无法进行批量打款，需要与用户确认：</w:t>
      </w:r>
      <w:bookmarkEnd w:id="6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退款金额小于1，是否接受兑换为等额水晶，可及时到账；若用户接受【提交答疑】兑换水晶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若不接受，仍然想要进行现金退款的情况，跟用户确认收款信息以及金额，登记【</w:t>
      </w:r>
      <w:hyperlink r:id="rId10">
        <w:r>
          <w:rPr>
            <w:rFonts w:eastAsia="等线" w:ascii="Arial" w:cs="Arial" w:hAnsi="Arial"/>
            <w:color w:val="3370ff"/>
            <w:sz w:val="22"/>
          </w:rPr>
          <w:t>退款金额小于1登记表</w:t>
        </w:r>
      </w:hyperlink>
      <w:r>
        <w:rPr>
          <w:rFonts w:eastAsia="等线" w:ascii="Arial" w:cs="Arial" w:hAnsi="Arial"/>
          <w:sz w:val="22"/>
        </w:rPr>
        <w:t>】（多笔小于1元的需分开每条都登记，不可合并）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已显示退款成功但用户反馈没收到：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核实退款成功时间是否超过</w:t>
      </w:r>
      <w:r>
        <w:rPr>
          <w:rFonts w:eastAsia="等线" w:ascii="Arial" w:cs="Arial" w:hAnsi="Arial"/>
          <w:sz w:val="22"/>
        </w:rPr>
        <w:t>7个工作日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超过</w:t>
      </w:r>
      <w:r>
        <w:rPr>
          <w:rFonts w:eastAsia="等线" w:ascii="Arial" w:cs="Arial" w:hAnsi="Arial"/>
          <w:b w:val="true"/>
          <w:sz w:val="22"/>
        </w:rPr>
        <w:t>7给工作日</w:t>
      </w:r>
      <w:r>
        <w:rPr>
          <w:rFonts w:eastAsia="等线" w:ascii="Arial" w:cs="Arial" w:hAnsi="Arial"/>
          <w:b w:val="true"/>
          <w:sz w:val="22"/>
        </w:rPr>
        <w:t>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【提交答疑】</w:t>
      </w:r>
      <w:r>
        <w:rPr>
          <w:rFonts w:eastAsia="等线" w:ascii="Arial" w:cs="Arial" w:hAnsi="Arial"/>
          <w:sz w:val="22"/>
        </w:rPr>
        <w:t xml:space="preserve"> 核实财务打款状态。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未超过</w:t>
      </w:r>
      <w:r>
        <w:rPr>
          <w:rFonts w:eastAsia="等线" w:ascii="Arial" w:cs="Arial" w:hAnsi="Arial"/>
          <w:b w:val="true"/>
          <w:sz w:val="22"/>
        </w:rPr>
        <w:t>7个工作日</w:t>
      </w:r>
      <w:r>
        <w:rPr>
          <w:rFonts w:eastAsia="等线" w:ascii="Arial" w:cs="Arial" w:hAnsi="Arial"/>
          <w:b w:val="true"/>
          <w:sz w:val="22"/>
        </w:rPr>
        <w:t>：</w:t>
      </w:r>
      <w:r>
        <w:rPr>
          <w:rFonts w:eastAsia="等线" w:ascii="Arial" w:cs="Arial" w:hAnsi="Arial"/>
          <w:sz w:val="22"/>
        </w:rPr>
        <w:t xml:space="preserve"> 告知用户支付平台有延迟，请查询账单明细或咨询支付平台客服。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用户反馈信息与系统不符：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如用户坚持说是系统报错导致的退款失败，请 </w:t>
      </w:r>
      <w:r>
        <w:rPr>
          <w:rFonts w:eastAsia="等线" w:ascii="Arial" w:cs="Arial" w:hAnsi="Arial"/>
          <w:b w:val="true"/>
          <w:sz w:val="22"/>
        </w:rPr>
        <w:t>【提交答疑】</w:t>
      </w:r>
      <w:r>
        <w:rPr>
          <w:rFonts w:eastAsia="等线" w:ascii="Arial" w:cs="Arial" w:hAnsi="Arial"/>
          <w:sz w:val="22"/>
        </w:rPr>
        <w:t xml:space="preserve"> 并上传截图。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用户申请整单退款，且对应商品/订单满足整单退款规则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操作步骤：查询用户实付金额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登录【虾淘推送管理后台】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定位到用户所在的活动池子（或对应商品池）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查询该用户在此池子内实际支付的金额（排除优惠、积分等虚拟抵扣后的实付额）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核对用户的订单信息、与用户确认告知其整单可退金额及收款账户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登记退款表格，将确认后的退款信息填入当月支付宝退款登记表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注意事项：务必以后台查询的实付金额为准，不可按用户勾选商品的参考价作为退款金额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💡 SOP 核心变化点：</w:t>
      </w:r>
      <w:bookmarkEnd w:id="7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不再手动算账：</w:t>
      </w:r>
      <w:r>
        <w:rPr>
          <w:rFonts w:eastAsia="等线" w:ascii="Arial" w:cs="Arial" w:hAnsi="Arial"/>
          <w:sz w:val="22"/>
        </w:rPr>
        <w:t xml:space="preserve"> 严禁客服自行计算退款金额。一切以系统卡片弹出的金额为准。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不再问支付宝：</w:t>
      </w:r>
      <w:r>
        <w:rPr>
          <w:rFonts w:eastAsia="等线" w:ascii="Arial" w:cs="Arial" w:hAnsi="Arial"/>
          <w:sz w:val="22"/>
        </w:rPr>
        <w:t xml:space="preserve"> 除非系统明确提示需要人工转账（极少见），否则统一引导用户在退款卡片中完成操作。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不再查参考价：</w:t>
      </w:r>
      <w:r>
        <w:rPr>
          <w:rFonts w:eastAsia="等线" w:ascii="Arial" w:cs="Arial" w:hAnsi="Arial"/>
          <w:sz w:val="22"/>
        </w:rPr>
        <w:t xml:space="preserve"> 旧版 SOP 中关于“扭蛋机是否有参考价、找答疑核实单价”的流程全部作废，系统会自动调取实时参考价进行退款。</w:t>
      </w: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72814">
    <w:lvl>
      <w:numFmt w:val="bullet"/>
      <w:suff w:val="tab"/>
      <w:lvlText w:val="•"/>
      <w:rPr>
        <w:color w:val="3370ff"/>
      </w:rPr>
    </w:lvl>
  </w:abstractNum>
  <w:abstractNum w:abstractNumId="1572815">
    <w:lvl>
      <w:numFmt w:val="bullet"/>
      <w:suff w:val="tab"/>
      <w:lvlText w:val="•"/>
      <w:rPr>
        <w:color w:val="3370ff"/>
      </w:rPr>
    </w:lvl>
  </w:abstractNum>
  <w:abstractNum w:abstractNumId="1572816">
    <w:lvl>
      <w:numFmt w:val="bullet"/>
      <w:suff w:val="tab"/>
      <w:lvlText w:val="•"/>
      <w:rPr>
        <w:color w:val="3370ff"/>
      </w:rPr>
    </w:lvl>
  </w:abstractNum>
  <w:abstractNum w:abstractNumId="1572817">
    <w:lvl>
      <w:numFmt w:val="bullet"/>
      <w:suff w:val="tab"/>
      <w:lvlText w:val="•"/>
      <w:rPr>
        <w:color w:val="3370ff"/>
      </w:rPr>
    </w:lvl>
  </w:abstractNum>
  <w:abstractNum w:abstractNumId="1572818">
    <w:lvl>
      <w:numFmt w:val="bullet"/>
      <w:suff w:val="tab"/>
      <w:lvlText w:val="•"/>
      <w:rPr>
        <w:color w:val="3370ff"/>
      </w:rPr>
    </w:lvl>
  </w:abstractNum>
  <w:abstractNum w:abstractNumId="1572819">
    <w:lvl>
      <w:start w:val="1"/>
      <w:numFmt w:val="decimal"/>
      <w:suff w:val="tab"/>
      <w:lvlText w:val="%1."/>
      <w:rPr>
        <w:color w:val="3370ff"/>
      </w:rPr>
    </w:lvl>
  </w:abstractNum>
  <w:abstractNum w:abstractNumId="1572820">
    <w:lvl>
      <w:start w:val="2"/>
      <w:numFmt w:val="decimal"/>
      <w:suff w:val="tab"/>
      <w:lvlText w:val="%1."/>
      <w:rPr>
        <w:color w:val="3370ff"/>
      </w:rPr>
    </w:lvl>
  </w:abstractNum>
  <w:abstractNum w:abstractNumId="1572821">
    <w:lvl>
      <w:start w:val="1"/>
      <w:numFmt w:val="decimal"/>
      <w:suff w:val="tab"/>
      <w:lvlText w:val="%1."/>
      <w:rPr>
        <w:color w:val="3370ff"/>
      </w:rPr>
    </w:lvl>
  </w:abstractNum>
  <w:abstractNum w:abstractNumId="1572822">
    <w:lvl>
      <w:start w:val="2"/>
      <w:numFmt w:val="decimal"/>
      <w:suff w:val="tab"/>
      <w:lvlText w:val="%1."/>
      <w:rPr>
        <w:color w:val="3370ff"/>
      </w:rPr>
    </w:lvl>
  </w:abstractNum>
  <w:abstractNum w:abstractNumId="1572823">
    <w:lvl>
      <w:start w:val="3"/>
      <w:numFmt w:val="decimal"/>
      <w:suff w:val="tab"/>
      <w:lvlText w:val="%1."/>
      <w:rPr>
        <w:color w:val="3370ff"/>
      </w:rPr>
    </w:lvl>
  </w:abstractNum>
  <w:abstractNum w:abstractNumId="1572824">
    <w:lvl>
      <w:start w:val="1"/>
      <w:numFmt w:val="decimal"/>
      <w:suff w:val="tab"/>
      <w:lvlText w:val="%1."/>
      <w:rPr>
        <w:color w:val="3370ff"/>
      </w:rPr>
    </w:lvl>
  </w:abstractNum>
  <w:abstractNum w:abstractNumId="1572825">
    <w:lvl>
      <w:start w:val="2"/>
      <w:numFmt w:val="decimal"/>
      <w:suff w:val="tab"/>
      <w:lvlText w:val="%1."/>
      <w:rPr>
        <w:color w:val="3370ff"/>
      </w:rPr>
    </w:lvl>
  </w:abstractNum>
  <w:abstractNum w:abstractNumId="1572826">
    <w:lvl>
      <w:start w:val="1"/>
      <w:numFmt w:val="decimal"/>
      <w:suff w:val="tab"/>
      <w:lvlText w:val="%1."/>
      <w:rPr>
        <w:color w:val="3370ff"/>
      </w:rPr>
    </w:lvl>
  </w:abstractNum>
  <w:abstractNum w:abstractNumId="1572827">
    <w:lvl>
      <w:start w:val="2"/>
      <w:numFmt w:val="decimal"/>
      <w:suff w:val="tab"/>
      <w:lvlText w:val="%1."/>
      <w:rPr>
        <w:color w:val="3370ff"/>
      </w:rPr>
    </w:lvl>
  </w:abstractNum>
  <w:abstractNum w:abstractNumId="1572828">
    <w:lvl>
      <w:start w:val="3"/>
      <w:numFmt w:val="decimal"/>
      <w:suff w:val="tab"/>
      <w:lvlText w:val="%1."/>
      <w:rPr>
        <w:color w:val="3370ff"/>
      </w:rPr>
    </w:lvl>
  </w:abstractNum>
  <w:abstractNum w:abstractNumId="1572829">
    <w:lvl>
      <w:numFmt w:val="bullet"/>
      <w:suff w:val="tab"/>
      <w:lvlText w:val="￮"/>
      <w:rPr>
        <w:color w:val="3370ff"/>
      </w:rPr>
    </w:lvl>
  </w:abstractNum>
  <w:abstractNum w:abstractNumId="1572830">
    <w:lvl>
      <w:numFmt w:val="bullet"/>
      <w:suff w:val="tab"/>
      <w:lvlText w:val="￮"/>
      <w:rPr>
        <w:color w:val="3370ff"/>
      </w:rPr>
    </w:lvl>
  </w:abstractNum>
  <w:abstractNum w:abstractNumId="1572831">
    <w:lvl>
      <w:numFmt w:val="bullet"/>
      <w:suff w:val="tab"/>
      <w:lvlText w:val="￮"/>
      <w:rPr>
        <w:color w:val="3370ff"/>
      </w:rPr>
    </w:lvl>
  </w:abstractNum>
  <w:abstractNum w:abstractNumId="1572832">
    <w:lvl>
      <w:start w:val="4"/>
      <w:numFmt w:val="decimal"/>
      <w:suff w:val="tab"/>
      <w:lvlText w:val="%1."/>
      <w:rPr>
        <w:color w:val="3370ff"/>
      </w:rPr>
    </w:lvl>
  </w:abstractNum>
  <w:abstractNum w:abstractNumId="1572833">
    <w:lvl>
      <w:numFmt w:val="bullet"/>
      <w:suff w:val="tab"/>
      <w:lvlText w:val="￮"/>
      <w:rPr>
        <w:color w:val="3370ff"/>
      </w:rPr>
    </w:lvl>
  </w:abstractNum>
  <w:abstractNum w:abstractNumId="1572834">
    <w:lvl>
      <w:start w:val="5"/>
      <w:numFmt w:val="decimal"/>
      <w:suff w:val="tab"/>
      <w:lvlText w:val="%1."/>
      <w:rPr>
        <w:color w:val="3370ff"/>
      </w:rPr>
    </w:lvl>
  </w:abstractNum>
  <w:abstractNum w:abstractNumId="1572835">
    <w:lvl>
      <w:numFmt w:val="bullet"/>
      <w:suff w:val="tab"/>
      <w:lvlText w:val="•"/>
      <w:rPr>
        <w:color w:val="3370ff"/>
      </w:rPr>
    </w:lvl>
  </w:abstractNum>
  <w:abstractNum w:abstractNumId="1572836">
    <w:lvl>
      <w:numFmt w:val="bullet"/>
      <w:suff w:val="tab"/>
      <w:lvlText w:val="•"/>
      <w:rPr>
        <w:color w:val="3370ff"/>
      </w:rPr>
    </w:lvl>
  </w:abstractNum>
  <w:abstractNum w:abstractNumId="1572837">
    <w:lvl>
      <w:numFmt w:val="bullet"/>
      <w:suff w:val="tab"/>
      <w:lvlText w:val="•"/>
      <w:rPr>
        <w:color w:val="3370ff"/>
      </w:rPr>
    </w:lvl>
  </w:abstractNum>
  <w:abstractNum w:abstractNumId="1572838">
    <w:lvl>
      <w:numFmt w:val="bullet"/>
      <w:suff w:val="tab"/>
      <w:lvlText w:val="•"/>
      <w:rPr>
        <w:color w:val="3370ff"/>
      </w:rPr>
    </w:lvl>
  </w:abstractNum>
  <w:abstractNum w:abstractNumId="1572839">
    <w:lvl>
      <w:start w:val="1"/>
      <w:numFmt w:val="decimal"/>
      <w:suff w:val="tab"/>
      <w:lvlText w:val="%1."/>
      <w:rPr>
        <w:color w:val="3370ff"/>
      </w:rPr>
    </w:lvl>
  </w:abstractNum>
  <w:abstractNum w:abstractNumId="1572840">
    <w:lvl>
      <w:start w:val="2"/>
      <w:numFmt w:val="decimal"/>
      <w:suff w:val="tab"/>
      <w:lvlText w:val="%1."/>
      <w:rPr>
        <w:color w:val="3370ff"/>
      </w:rPr>
    </w:lvl>
  </w:abstractNum>
  <w:abstractNum w:abstractNumId="1572841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1572814"/>
  </w:num>
  <w:num w:numId="2">
    <w:abstractNumId w:val="1572815"/>
  </w:num>
  <w:num w:numId="3">
    <w:abstractNumId w:val="1572816"/>
  </w:num>
  <w:num w:numId="4">
    <w:abstractNumId w:val="1572817"/>
  </w:num>
  <w:num w:numId="5">
    <w:abstractNumId w:val="1572818"/>
  </w:num>
  <w:num w:numId="6">
    <w:abstractNumId w:val="1572819"/>
  </w:num>
  <w:num w:numId="7">
    <w:abstractNumId w:val="1572820"/>
  </w:num>
  <w:num w:numId="8">
    <w:abstractNumId w:val="1572821"/>
  </w:num>
  <w:num w:numId="9">
    <w:abstractNumId w:val="1572822"/>
  </w:num>
  <w:num w:numId="10">
    <w:abstractNumId w:val="1572823"/>
  </w:num>
  <w:num w:numId="11">
    <w:abstractNumId w:val="1572824"/>
  </w:num>
  <w:num w:numId="12">
    <w:abstractNumId w:val="1572825"/>
  </w:num>
  <w:num w:numId="13">
    <w:abstractNumId w:val="1572826"/>
  </w:num>
  <w:num w:numId="14">
    <w:abstractNumId w:val="1572827"/>
  </w:num>
  <w:num w:numId="15">
    <w:abstractNumId w:val="1572828"/>
  </w:num>
  <w:num w:numId="16">
    <w:abstractNumId w:val="1572829"/>
  </w:num>
  <w:num w:numId="17">
    <w:abstractNumId w:val="1572830"/>
  </w:num>
  <w:num w:numId="18">
    <w:abstractNumId w:val="1572831"/>
  </w:num>
  <w:num w:numId="19">
    <w:abstractNumId w:val="1572832"/>
  </w:num>
  <w:num w:numId="20">
    <w:abstractNumId w:val="1572833"/>
  </w:num>
  <w:num w:numId="21">
    <w:abstractNumId w:val="1572834"/>
  </w:num>
  <w:num w:numId="22">
    <w:abstractNumId w:val="1572835"/>
  </w:num>
  <w:num w:numId="23">
    <w:abstractNumId w:val="1572836"/>
  </w:num>
  <w:num w:numId="24">
    <w:abstractNumId w:val="1572837"/>
  </w:num>
  <w:num w:numId="25">
    <w:abstractNumId w:val="1572838"/>
  </w:num>
  <w:num w:numId="26">
    <w:abstractNumId w:val="1572839"/>
  </w:num>
  <w:num w:numId="27">
    <w:abstractNumId w:val="1572840"/>
  </w:num>
  <w:num w:numId="28">
    <w:abstractNumId w:val="157284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m1fkaoa5osk.feishu.cn/wiki/Ex64wc3U8ijEq8kH9RmcM7iOnzc?table=tblFHyFOjoW2xRYS&amp;view=vew0ym9qYr" TargetMode="External" Type="http://schemas.openxmlformats.org/officeDocument/2006/relationships/hyperlink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mitakoxiatao.feishu.cn/wiki/IrNOwxH7Li2E66kSpMicXVlgnYd" TargetMode="External" Type="http://schemas.openxmlformats.org/officeDocument/2006/relationships/hyperlink"/><Relationship Id="rId5" Target="numbering.xml" Type="http://schemas.openxmlformats.org/officeDocument/2006/relationships/numbering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2026-06-11T08:30:12Z</dcterms:created>
  <dc:creator>Apache POI</dc:creator>
</cp:coreProperties>
</file>