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ТЕХНОЛОГИЧНО УЧИЛИЩЕ ЕЛЕКТРОННИ СИСТЕМИ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към ТЕХНИЧЕСКИ УНИВЕРСИТЕТ - СОФИЯ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КУРСОВ ПРОЕКТ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Разработване на двуколка с дистанционно управление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Разработващи:                                Научен ръководител: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Алекс Ласкин                                              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Маг. Инж. </w:t>
      </w:r>
      <w:r w:rsidDel="00000000" w:rsidR="00000000" w:rsidRPr="00000000">
        <w:rPr>
          <w:sz w:val="28"/>
          <w:szCs w:val="28"/>
          <w:rtl w:val="0"/>
        </w:rPr>
        <w:t xml:space="preserve">Росен Витанов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Боян Каратотев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София 2018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Съдържание: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Задание: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Да се създаде и разработи радиоуправляема двуколка с опции за движение във всички посоки.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Обща характеристика: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В днешно време има всякакви видове радиоуправляеми колички. Ние обаче искаме да създадем нещо несъществуващо. Количката има за цел да наподобява едноколката на граф Дуко от Междузвездни войни, но с две колела за да може да осгури по-лесно управление и по-добър баланс.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  <w:highlight w:val="white"/>
        </w:rPr>
      </w:pPr>
      <w:r w:rsidDel="00000000" w:rsidR="00000000" w:rsidRPr="00000000">
        <w:rPr>
          <w:sz w:val="60"/>
          <w:szCs w:val="60"/>
          <w:highlight w:val="white"/>
          <w:rtl w:val="0"/>
        </w:rPr>
        <w:t xml:space="preserve">Глава I. Корпус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I.I. Обща характеристика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Корпусът представлява метална конструкция, която има за цел да направи статично свързване между двете колела и механизма за управление на двуколката.(снимка)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I.II. Компоненти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Корпусът е изработен от: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Кухи квадратни железни профили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Лагери (да вкараме размери)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36"/>
          <w:szCs w:val="36"/>
          <w:highlight w:val="white"/>
          <w:u w:val="non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Капли от колело 16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"</w:t>
      </w:r>
    </w:p>
    <w:p w:rsidR="00000000" w:rsidDel="00000000" w:rsidP="00000000" w:rsidRDefault="00000000" w:rsidRPr="00000000">
      <w:pPr>
        <w:contextualSpacing w:val="0"/>
        <w:jc w:val="center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Глава II. Механизъм за управление на двуколката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48"/>
          <w:szCs w:val="48"/>
          <w:highlight w:val="white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II.I. Обща характеристика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Механизмът представлява Ардуино нано, управляващо две Н ватови моторчета, свързани с каплите и статични за корпуса.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48"/>
          <w:szCs w:val="48"/>
          <w:highlight w:val="white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II.II. Код на механизма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ab/>
      </w: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II.II.I. Блок схема на кода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ab/>
        <w:t xml:space="preserve">II.II.II. Код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color w:val="222222"/>
          <w:sz w:val="60"/>
          <w:szCs w:val="60"/>
          <w:highlight w:val="white"/>
          <w:rtl w:val="0"/>
        </w:rPr>
        <w:t xml:space="preserve">Глава III. Радиоуправление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48"/>
          <w:szCs w:val="48"/>
          <w:highlight w:val="white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III.I. Обща характеристика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48"/>
          <w:szCs w:val="48"/>
          <w:highlight w:val="white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III.II. Код на радиоуправление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ab/>
      </w: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III.II.I. Блок схема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ab/>
        <w:t xml:space="preserve">III.II.II. Код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