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Playfair Display" w:cs="Playfair Display" w:eastAsia="Playfair Display" w:hAnsi="Playfair Display"/>
          <w:b w:val="1"/>
          <w:bCs w:val="1"/>
          <w:color w:val="1a2e3b"/>
          <w:sz w:val="46"/>
          <w:szCs w:val="46"/>
        </w:rPr>
      </w:pPr>
      <w:bookmarkStart w:colFirst="0" w:colLast="0" w:name="_17j00dr7mjn" w:id="0"/>
      <w:bookmarkEnd w:id="0"/>
      <w:r w:rsidDel="00000000" w:rsidR="00000000" w:rsidRPr="00000000">
        <w:rPr>
          <w:rFonts w:ascii="Playfair Display" w:cs="Playfair Display" w:eastAsia="Playfair Display" w:hAnsi="Playfair Display"/>
          <w:b w:val="1"/>
          <w:bCs w:val="1"/>
          <w:color w:val="1a2e3b"/>
          <w:sz w:val="46"/>
          <w:szCs w:val="46"/>
          <w:rtl w:val="0"/>
        </w:rPr>
        <w:t xml:space="preserve">Communication institutionnelle : les tendances 2026 pour le continent africain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60" w:line="395.99999999999994" w:lineRule="auto"/>
        <w:rPr>
          <w:i w:val="1"/>
          <w:iCs w:val="1"/>
          <w:color w:val="6b6460"/>
        </w:rPr>
      </w:pPr>
      <w:r w:rsidDel="00000000" w:rsidR="00000000" w:rsidRPr="00000000">
        <w:rPr>
          <w:i w:val="1"/>
          <w:iCs w:val="1"/>
          <w:color w:val="6b6460"/>
          <w:rtl w:val="0"/>
        </w:rPr>
        <w:t xml:space="preserve">L'Afrique entre dans une ère de maturité communicationnelle. Ce qui fonctionnait hier ne suffit plus. Décryptage des nouvelles dynamiques.</w:t>
      </w:r>
    </w:p>
    <w:p w:rsidR="00000000" w:rsidDel="00000000" w:rsidP="00000000" w:rsidRDefault="00000000" w:rsidRPr="00000000" w14:paraId="00000003">
      <w:pPr>
        <w:shd w:fill="ffffff" w:val="clear"/>
        <w:rPr>
          <w:color w:val="6b6460"/>
        </w:rPr>
      </w:pPr>
      <w:r w:rsidDel="00000000" w:rsidR="00000000" w:rsidRPr="00000000">
        <w:rPr>
          <w:color w:val="6b6460"/>
          <w:rtl w:val="0"/>
        </w:rPr>
        <w:t xml:space="preserve">🗓 Avril 2026</w:t>
      </w:r>
    </w:p>
    <w:p w:rsidR="00000000" w:rsidDel="00000000" w:rsidP="00000000" w:rsidRDefault="00000000" w:rsidRPr="00000000" w14:paraId="00000004">
      <w:pPr>
        <w:shd w:fill="ffffff" w:val="clear"/>
        <w:rPr>
          <w:color w:val="6b6460"/>
        </w:rPr>
      </w:pPr>
      <w:r w:rsidDel="00000000" w:rsidR="00000000" w:rsidRPr="00000000">
        <w:rPr>
          <w:rFonts w:ascii="Arial Unicode MS" w:cs="Arial Unicode MS" w:eastAsia="Arial Unicode MS" w:hAnsi="Arial Unicode MS"/>
          <w:color w:val="6b6460"/>
          <w:rtl w:val="0"/>
        </w:rPr>
        <w:t xml:space="preserve">⏱ 7 min de lecture</w:t>
      </w:r>
    </w:p>
    <w:p w:rsidR="00000000" w:rsidDel="00000000" w:rsidP="00000000" w:rsidRDefault="00000000" w:rsidRPr="00000000" w14:paraId="00000005">
      <w:pPr>
        <w:shd w:fill="ffffff" w:val="clear"/>
        <w:rPr>
          <w:color w:val="6b6460"/>
        </w:rPr>
      </w:pPr>
      <w:r w:rsidDel="00000000" w:rsidR="00000000" w:rsidRPr="00000000">
        <w:rPr>
          <w:color w:val="6b6460"/>
          <w:rtl w:val="0"/>
        </w:rPr>
        <w:t xml:space="preserve">📍 Dakar, Sénégal</w:t>
      </w:r>
    </w:p>
    <w:p w:rsidR="00000000" w:rsidDel="00000000" w:rsidP="00000000" w:rsidRDefault="00000000" w:rsidRPr="00000000" w14:paraId="00000006">
      <w:pPr>
        <w:rPr>
          <w:color w:val="0f0e0d"/>
        </w:rPr>
      </w:pPr>
      <w:r w:rsidDel="00000000" w:rsidR="00000000" w:rsidRPr="00000000">
        <w:rPr>
          <w:color w:val="0f0e0d"/>
          <w:rtl w:val="0"/>
        </w:rPr>
        <w:t xml:space="preserve">TENDANCES 2026📡</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Playfair Display" w:cs="Playfair Display" w:eastAsia="Playfair Display" w:hAnsi="Playfair Display"/>
          <w:b w:val="1"/>
          <w:bCs w:val="1"/>
          <w:color w:val="1a2e3b"/>
          <w:sz w:val="34"/>
          <w:szCs w:val="34"/>
        </w:rPr>
      </w:pPr>
      <w:bookmarkStart w:colFirst="0" w:colLast="0" w:name="_m37p7layquos" w:id="1"/>
      <w:bookmarkEnd w:id="1"/>
      <w:r w:rsidDel="00000000" w:rsidR="00000000" w:rsidRPr="00000000">
        <w:rPr>
          <w:rFonts w:ascii="Playfair Display" w:cs="Playfair Display" w:eastAsia="Playfair Display" w:hAnsi="Playfair Display"/>
          <w:b w:val="1"/>
          <w:bCs w:val="1"/>
          <w:color w:val="1a2e3b"/>
          <w:sz w:val="34"/>
          <w:szCs w:val="34"/>
          <w:rtl w:val="0"/>
        </w:rPr>
        <w:t xml:space="preserve">Un continent en pleine transformation communicationnelle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En 2026, l'Afrique ne reçoit plus les tendances mondiales avec un temps de retard : elle les co-génère. Des rédactions numériques de Lagos aux studios de production de Dakar, en passant par les think tanks d'Abidjan et de Nairobi, le continent produit désormais ses propres codes, ses propres formats, ses propres narratifs. Pour les institutions — gouvernements, entreprises publiques, organisations internationales, grandes entreprises privées — cette mutation impose une révision profonde des stratégies de communication.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La communication institutionnelle africaine entre dans l'ère de la souveraineté narrative. Fini le temps où une institution se contentait d'adapter des messages conçus ailleurs. Les publics africains, jeunes, connectés, plurilingues, attendent des prises de parole authentiques, ancrées dans leurs réalités, délivrées dans leurs langues et portées par des visages qui leur ressemblent.</w:t>
      </w:r>
    </w:p>
    <w:p w:rsidR="00000000" w:rsidDel="00000000" w:rsidP="00000000" w:rsidRDefault="00000000" w:rsidRPr="00000000" w14:paraId="0000000A">
      <w:pPr>
        <w:shd w:fill="f5f0e8" w:val="clear"/>
        <w:spacing w:after="360" w:before="360" w:line="360" w:lineRule="auto"/>
        <w:rPr>
          <w:rFonts w:ascii="Playfair Display" w:cs="Playfair Display" w:eastAsia="Playfair Display" w:hAnsi="Playfair Display"/>
          <w:i w:val="1"/>
          <w:iCs w:val="1"/>
          <w:color w:val="1a2e3b"/>
        </w:rPr>
      </w:pPr>
      <w:r w:rsidDel="00000000" w:rsidR="00000000" w:rsidRPr="00000000">
        <w:rPr>
          <w:rFonts w:ascii="Playfair Display" w:cs="Playfair Display" w:eastAsia="Playfair Display" w:hAnsi="Playfair Display"/>
          <w:i w:val="1"/>
          <w:iCs w:val="1"/>
          <w:color w:val="1a2e3b"/>
          <w:rtl w:val="0"/>
        </w:rPr>
        <w:t xml:space="preserve">"L'Afrique ne reçoit plus les tendances : elle les fabrique. Les institutions qui l'ignorent parlent dans le vide."</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qgniq4z1lytx" w:id="2"/>
      <w:bookmarkEnd w:id="2"/>
      <w:r w:rsidDel="00000000" w:rsidR="00000000" w:rsidRPr="00000000">
        <w:rPr>
          <w:rFonts w:ascii="Playfair Display" w:cs="Playfair Display" w:eastAsia="Playfair Display" w:hAnsi="Playfair Display"/>
          <w:b w:val="1"/>
          <w:bCs w:val="1"/>
          <w:color w:val="1a2e3b"/>
          <w:sz w:val="34"/>
          <w:szCs w:val="34"/>
          <w:rtl w:val="0"/>
        </w:rPr>
        <w:t xml:space="preserve">Tendance n°1 — La localisation radicale des messages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La traduction ne suffit plus. Les institutions performantes en 2026 investissent dans la création de contenus originaux en langues nationales — wolof, haoussa, amharique, swahili, bambara. Cette localisation va bien au-delà des mots : elle touche les références culturelles, les codes visuels, les formats narratifs. Une marque qui s'adresse à un public sénégalais en mobilisant les codes du storytelling wolof obtient un taux d'engagement jusqu'à trois fois supérieur à celle qui recycle un message standardisé.</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Les agences de communication avant-gardistes constituent désormais des équipes éditoriales multilingues capables de produire simultanément dans plusieurs langues du continent, sans que la version française ou anglaise reste la "version originale".</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7dfk4ymj1upu" w:id="3"/>
      <w:bookmarkEnd w:id="3"/>
      <w:r w:rsidDel="00000000" w:rsidR="00000000" w:rsidRPr="00000000">
        <w:rPr>
          <w:rFonts w:ascii="Playfair Display" w:cs="Playfair Display" w:eastAsia="Playfair Display" w:hAnsi="Playfair Display"/>
          <w:b w:val="1"/>
          <w:bCs w:val="1"/>
          <w:color w:val="1a2e3b"/>
          <w:sz w:val="34"/>
          <w:szCs w:val="34"/>
          <w:rtl w:val="0"/>
        </w:rPr>
        <w:t xml:space="preserve">Tendance n°2 — La transparence comme capital réputationnel</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Dans un contexte de défiance généralisée envers les institutions — alimentée par les scandales de gouvernance, la désinformation et la montée de la conscience citoyenne — la transparence est devenue un actif stratégique. Les organisations qui publient leurs données, rendent compte de leurs actions et exposent leurs processus de décision construisent une crédibilité durable que la publicité traditionnelle ne peut plus acheter.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Ce mouvement s'accompagne d'une demande croissante de reporting d'impact : ONG, institutions financières, entreprises cotées ou non — toutes sont désormais attendues sur la preuve tangible de leur contribution au développement.</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1nwtaboykubs" w:id="4"/>
      <w:bookmarkEnd w:id="4"/>
      <w:r w:rsidDel="00000000" w:rsidR="00000000" w:rsidRPr="00000000">
        <w:rPr>
          <w:rFonts w:ascii="Playfair Display" w:cs="Playfair Display" w:eastAsia="Playfair Display" w:hAnsi="Playfair Display"/>
          <w:b w:val="1"/>
          <w:bCs w:val="1"/>
          <w:color w:val="1a2e3b"/>
          <w:sz w:val="34"/>
          <w:szCs w:val="34"/>
          <w:rtl w:val="0"/>
        </w:rPr>
        <w:t xml:space="preserve">Tendance n°3 — L'influence par les pairs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Le modèle top-down de la communication institutionnelle s'érode. Les décideurs africains font davantage confiance aux pairs — autres dirigeants, académiciens reconnus, journalistes d'investigation respectés — qu'aux communiqués officiels. Les stratégies d'influence intelligentes intègrent désormais la cartographie des réseaux d'influence informels, souvent plus puissants que les circuits officiels.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u w:val="none"/>
        </w:rPr>
      </w:pPr>
      <w:r w:rsidDel="00000000" w:rsidR="00000000" w:rsidRPr="00000000">
        <w:rPr>
          <w:color w:val="3a3530"/>
          <w:rtl w:val="0"/>
        </w:rPr>
        <w:t xml:space="preserve">Identification des relais d'opinion sectoriels et géographiques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u w:val="none"/>
        </w:rPr>
      </w:pPr>
      <w:r w:rsidDel="00000000" w:rsidR="00000000" w:rsidRPr="00000000">
        <w:rPr>
          <w:color w:val="3a3530"/>
          <w:rtl w:val="0"/>
        </w:rPr>
        <w:t xml:space="preserve">Co-construction de contenus avec des voix légitimes locales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u w:val="none"/>
        </w:rPr>
      </w:pPr>
      <w:r w:rsidDel="00000000" w:rsidR="00000000" w:rsidRPr="00000000">
        <w:rPr>
          <w:color w:val="3a3530"/>
          <w:rtl w:val="0"/>
        </w:rPr>
        <w:t xml:space="preserve">Engagement des communautés diasporiques comme amplificateurs</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280" w:line="408" w:lineRule="auto"/>
        <w:ind w:left="720" w:hanging="360"/>
        <w:rPr>
          <w:color w:val="3a3530"/>
          <w:u w:val="none"/>
        </w:rPr>
      </w:pPr>
      <w:r w:rsidDel="00000000" w:rsidR="00000000" w:rsidRPr="00000000">
        <w:rPr>
          <w:color w:val="3a3530"/>
          <w:rtl w:val="0"/>
        </w:rPr>
        <w:t xml:space="preserve">Investissement dans les plateformes d'opinion africaines (The Africa Report, Jeune Afrique, presse locale indépendante)</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7uxihqdzxv79" w:id="5"/>
      <w:bookmarkEnd w:id="5"/>
      <w:r w:rsidDel="00000000" w:rsidR="00000000" w:rsidRPr="00000000">
        <w:rPr>
          <w:rFonts w:ascii="Playfair Display" w:cs="Playfair Display" w:eastAsia="Playfair Display" w:hAnsi="Playfair Display"/>
          <w:b w:val="1"/>
          <w:bCs w:val="1"/>
          <w:color w:val="1a2e3b"/>
          <w:sz w:val="34"/>
          <w:szCs w:val="34"/>
          <w:rtl w:val="0"/>
        </w:rPr>
        <w:t xml:space="preserve">Tendance n°4 — La communication de données et de preuves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L'ère de l'affirmation sans preuve est révolue. En 2026, les institutions crédibles communiquent avec des données — des infographies, des tableaux de bord accessibles au public, des rapports vérifiables. Cette culture de la preuve, longtemps l'apanage des ONG et des bailleurs internationaux, s'impose désormais aux entreprises et aux institutions publiques africaines.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Les data journalists et les spécialistes de la visualisation de données sont devenus des profils très recherchés dans les équipes de communication institutionnelle. Savoir transformer une donnée brute en récit visuel percutant est une compétence stratégique à part entière.</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9tacnaxbf9mi" w:id="6"/>
      <w:bookmarkEnd w:id="6"/>
      <w:r w:rsidDel="00000000" w:rsidR="00000000" w:rsidRPr="00000000">
        <w:rPr>
          <w:rFonts w:ascii="Playfair Display" w:cs="Playfair Display" w:eastAsia="Playfair Display" w:hAnsi="Playfair Display"/>
          <w:b w:val="1"/>
          <w:bCs w:val="1"/>
          <w:color w:val="1a2e3b"/>
          <w:sz w:val="34"/>
          <w:szCs w:val="34"/>
          <w:rtl w:val="0"/>
        </w:rPr>
        <w:t xml:space="preserve">Perspectives pour les agences conseil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Pour les agences comme pour leurs clients, 2026 marque un tournant : la communication institutionnelle africaine doit être pensée depuis le continent, pour le continent, avec les outils du continent. Cela implique des investissements dans la formation, dans la production de contenus originaux et dans la construction de réseaux d'influence authentiques. Les institutions qui s'y engagent avec sérieux disposeront d'un avantage compétitif durable dans la bataille des perceptions.</w:t>
      </w:r>
    </w:p>
    <w:p w:rsidR="00000000" w:rsidDel="00000000" w:rsidP="00000000" w:rsidRDefault="00000000" w:rsidRPr="00000000" w14:paraId="0000001C">
      <w:pPr>
        <w:pStyle w:val="Heading2"/>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bookmarkStart w:colFirst="0" w:colLast="0" w:name="_lggbqk7wwsku" w:id="7"/>
      <w:bookmarkEnd w:id="7"/>
      <w:r w:rsidDel="00000000" w:rsidR="00000000" w:rsidRPr="00000000">
        <w:rPr>
          <w:rFonts w:ascii="Playfair Display" w:cs="Playfair Display" w:eastAsia="Playfair Display" w:hAnsi="Playfair Display"/>
          <w:b w:val="1"/>
          <w:bCs w:val="1"/>
          <w:color w:val="1a2e3b"/>
          <w:sz w:val="34"/>
          <w:szCs w:val="34"/>
          <w:rtl w:val="0"/>
        </w:rPr>
        <w:t xml:space="preserve"> Vers un modèle d'agence "Afro-centré" </w:t>
      </w:r>
      <w:r w:rsidDel="00000000" w:rsidR="00000000" w:rsidRPr="00000000">
        <w:rPr>
          <w:rtl w:val="0"/>
        </w:rPr>
        <w:br w:type="textWrapping"/>
      </w:r>
      <w:r w:rsidDel="00000000" w:rsidR="00000000" w:rsidRPr="00000000">
        <w:rPr>
          <w:color w:val="3a3530"/>
          <w:rtl w:val="0"/>
        </w:rPr>
        <w:t xml:space="preserve">Pour accompagner cette souveraineté, les institutions doivent repenser leur relation avec leurs prestataires. L'avenir appartient aux agences qui ne se contentent pas de traduire, mais qui co-créent avec des anthropologues, des linguistes et des créateurs de contenu locaux. L'enjeu de 2026 est l'intégration de l'IA générative pour personnaliser ces narratifs à l'échelle de chaque région, tout en préservant l'authenticité culturelle. La technologie doit servir le récit, et non l'inverse. </w:t>
      </w:r>
    </w:p>
    <w:p w:rsidR="00000000" w:rsidDel="00000000" w:rsidP="00000000" w:rsidRDefault="00000000" w:rsidRPr="00000000" w14:paraId="0000001D">
      <w:pPr>
        <w:pStyle w:val="Heading2"/>
        <w:pBdr>
          <w:top w:color="auto" w:space="0" w:sz="0" w:val="none"/>
          <w:left w:color="auto" w:space="0" w:sz="0" w:val="none"/>
          <w:bottom w:color="auto" w:space="0" w:sz="0" w:val="none"/>
          <w:right w:color="auto" w:space="0" w:sz="0" w:val="none"/>
          <w:between w:color="auto" w:space="0" w:sz="0" w:val="none"/>
        </w:pBdr>
        <w:spacing w:after="220" w:line="420" w:lineRule="auto"/>
        <w:jc w:val="center"/>
        <w:rPr>
          <w:color w:val="3a3530"/>
        </w:rPr>
      </w:pPr>
      <w:bookmarkStart w:colFirst="0" w:colLast="0" w:name="_kif7i7pcjlm5" w:id="8"/>
      <w:bookmarkEnd w:id="8"/>
      <w:r w:rsidDel="00000000" w:rsidR="00000000" w:rsidRPr="00000000">
        <w:rPr>
          <w:color w:val="3a3530"/>
          <w:rtl w:val="0"/>
        </w:rPr>
        <w:t xml:space="preserve">——— • ———</w:t>
      </w:r>
    </w:p>
    <w:p w:rsidR="00000000" w:rsidDel="00000000" w:rsidP="00000000" w:rsidRDefault="00000000" w:rsidRPr="00000000" w14:paraId="0000001E">
      <w:pPr>
        <w:pStyle w:val="Heading2"/>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bookmarkStart w:colFirst="0" w:colLast="0" w:name="_5awrb1w0q5th" w:id="9"/>
      <w:bookmarkEnd w:id="9"/>
      <w:r w:rsidDel="00000000" w:rsidR="00000000" w:rsidRPr="00000000">
        <w:rPr>
          <w:b w:val="1"/>
          <w:bCs w:val="1"/>
          <w:color w:val="3a3530"/>
          <w:rtl w:val="0"/>
        </w:rPr>
        <w:t xml:space="preserve">Le mot de la fin :</w:t>
      </w:r>
      <w:r w:rsidDel="00000000" w:rsidR="00000000" w:rsidRPr="00000000">
        <w:rPr>
          <w:color w:val="3a3530"/>
          <w:rtl w:val="0"/>
        </w:rPr>
        <w:t xml:space="preserve"> La technologie doit servir le récit, et non l'inverse. Si votre message ne résonne pas dans la langue du cœur de votre audience, aucune innovation ne pourra compenser ce silence.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20" w:line="420" w:lineRule="auto"/>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