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ffffff" w:val="clear"/>
        <w:rPr>
          <w:color w:val="b85c38"/>
        </w:rPr>
      </w:pPr>
      <w:r w:rsidDel="00000000" w:rsidR="00000000" w:rsidRPr="00000000">
        <w:rPr>
          <w:color w:val="b85c38"/>
          <w:rtl w:val="0"/>
        </w:rPr>
        <w:t xml:space="preserve">Gestion de Crise</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Playfair Display" w:cs="Playfair Display" w:eastAsia="Playfair Display" w:hAnsi="Playfair Display"/>
          <w:b w:val="1"/>
          <w:bCs w:val="1"/>
          <w:color w:val="1a2e3b"/>
          <w:sz w:val="46"/>
          <w:szCs w:val="46"/>
        </w:rPr>
      </w:pPr>
      <w:bookmarkStart w:colFirst="0" w:colLast="0" w:name="_xqa1oylof9ga" w:id="0"/>
      <w:bookmarkEnd w:id="0"/>
      <w:r w:rsidDel="00000000" w:rsidR="00000000" w:rsidRPr="00000000">
        <w:rPr>
          <w:rFonts w:ascii="Playfair Display" w:cs="Playfair Display" w:eastAsia="Playfair Display" w:hAnsi="Playfair Display"/>
          <w:b w:val="1"/>
          <w:bCs w:val="1"/>
          <w:color w:val="1a2e3b"/>
          <w:sz w:val="46"/>
          <w:szCs w:val="46"/>
          <w:rtl w:val="0"/>
        </w:rPr>
        <w:t xml:space="preserve">Gestion de crise : anticiper plutôt que réagir.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60" w:line="395.99999999999994" w:lineRule="auto"/>
        <w:rPr>
          <w:i w:val="1"/>
          <w:iCs w:val="1"/>
          <w:color w:val="6b6460"/>
        </w:rPr>
      </w:pPr>
      <w:r w:rsidDel="00000000" w:rsidR="00000000" w:rsidRPr="00000000">
        <w:rPr>
          <w:i w:val="1"/>
          <w:iCs w:val="1"/>
          <w:color w:val="6b6460"/>
          <w:rtl w:val="0"/>
        </w:rPr>
        <w:t xml:space="preserve">Quand la crise frappe, il est souvent trop tard pour construire. La résilience organisationnelle se bâtit en temps de paix. Voici comment.</w:t>
      </w:r>
    </w:p>
    <w:p w:rsidR="00000000" w:rsidDel="00000000" w:rsidP="00000000" w:rsidRDefault="00000000" w:rsidRPr="00000000" w14:paraId="00000005">
      <w:pPr>
        <w:shd w:fill="ffffff" w:val="clear"/>
        <w:rPr>
          <w:color w:val="6b6460"/>
        </w:rPr>
      </w:pPr>
      <w:r w:rsidDel="00000000" w:rsidR="00000000" w:rsidRPr="00000000">
        <w:rPr>
          <w:color w:val="6b6460"/>
          <w:rtl w:val="0"/>
        </w:rPr>
        <w:t xml:space="preserve">🗓 Avril 2026</w:t>
      </w:r>
    </w:p>
    <w:p w:rsidR="00000000" w:rsidDel="00000000" w:rsidP="00000000" w:rsidRDefault="00000000" w:rsidRPr="00000000" w14:paraId="00000006">
      <w:pPr>
        <w:shd w:fill="ffffff" w:val="clear"/>
        <w:rPr>
          <w:color w:val="6b6460"/>
        </w:rPr>
      </w:pPr>
      <w:r w:rsidDel="00000000" w:rsidR="00000000" w:rsidRPr="00000000">
        <w:rPr>
          <w:rFonts w:ascii="Arial Unicode MS" w:cs="Arial Unicode MS" w:eastAsia="Arial Unicode MS" w:hAnsi="Arial Unicode MS"/>
          <w:color w:val="6b6460"/>
          <w:rtl w:val="0"/>
        </w:rPr>
        <w:t xml:space="preserve">⏱ 8 min de lecture</w:t>
      </w:r>
    </w:p>
    <w:p w:rsidR="00000000" w:rsidDel="00000000" w:rsidP="00000000" w:rsidRDefault="00000000" w:rsidRPr="00000000" w14:paraId="00000007">
      <w:pPr>
        <w:shd w:fill="ffffff" w:val="clear"/>
        <w:rPr>
          <w:color w:val="6b6460"/>
        </w:rPr>
      </w:pPr>
      <w:r w:rsidDel="00000000" w:rsidR="00000000" w:rsidRPr="00000000">
        <w:rPr>
          <w:color w:val="6b6460"/>
          <w:rtl w:val="0"/>
        </w:rPr>
        <w:t xml:space="preserve">📍 Dakar, Sénégal</w:t>
      </w:r>
    </w:p>
    <w:p w:rsidR="00000000" w:rsidDel="00000000" w:rsidP="00000000" w:rsidRDefault="00000000" w:rsidRPr="00000000" w14:paraId="00000008">
      <w:pPr>
        <w:rPr>
          <w:color w:val="0f0e0d"/>
        </w:rPr>
      </w:pPr>
      <w:r w:rsidDel="00000000" w:rsidR="00000000" w:rsidRPr="00000000">
        <w:rPr>
          <w:color w:val="0f0e0d"/>
          <w:rtl w:val="0"/>
        </w:rPr>
        <w:t xml:space="preserve"> </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Playfair Display" w:cs="Playfair Display" w:eastAsia="Playfair Display" w:hAnsi="Playfair Display"/>
          <w:b w:val="1"/>
          <w:bCs w:val="1"/>
          <w:color w:val="1a2e3b"/>
          <w:sz w:val="34"/>
          <w:szCs w:val="34"/>
        </w:rPr>
      </w:pPr>
      <w:bookmarkStart w:colFirst="0" w:colLast="0" w:name="_lemu0jjvbs7c" w:id="1"/>
      <w:bookmarkEnd w:id="1"/>
      <w:r w:rsidDel="00000000" w:rsidR="00000000" w:rsidRPr="00000000">
        <w:rPr>
          <w:rFonts w:ascii="Playfair Display" w:cs="Playfair Display" w:eastAsia="Playfair Display" w:hAnsi="Playfair Display"/>
          <w:b w:val="1"/>
          <w:bCs w:val="1"/>
          <w:color w:val="1a2e3b"/>
          <w:sz w:val="34"/>
          <w:szCs w:val="34"/>
          <w:rtl w:val="0"/>
        </w:rPr>
        <w:t xml:space="preserve">La crise n'arrive jamais vraiment à l'improviste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Dans l'imaginaire collectif, la crise surgit de nulle part — un tweet viral, un article d'investigation, un incident industriel, une déclaration maladroite. Mais pour le communicant aguerri, la crise laisse toujours des signes avant-coureurs. Le vrai enjeu n'est pas de savoir gérer la crise : c'est de la détecter à temps pour en contrôler l'ampleur.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En Afrique, le contexte opérationnel amplifie les risques. Les réseaux sociaux circulent à une vitesse fulgurante dans des sociétés où le bouche-à-oreille reste un vecteur d'information majeur. Une rumeur mal gérée à Dakar peut traverser la sous-région en quelques heures. Une vidéo floue sur WhatsApp peut déclencher une crise réputationnelle qui prendra des mois à désamorcer.</w:t>
      </w:r>
    </w:p>
    <w:p w:rsidR="00000000" w:rsidDel="00000000" w:rsidP="00000000" w:rsidRDefault="00000000" w:rsidRPr="00000000" w14:paraId="0000000C">
      <w:pPr>
        <w:shd w:fill="f5f0e8" w:val="clear"/>
        <w:spacing w:after="360" w:before="360" w:line="360" w:lineRule="auto"/>
        <w:rPr>
          <w:rFonts w:ascii="Playfair Display" w:cs="Playfair Display" w:eastAsia="Playfair Display" w:hAnsi="Playfair Display"/>
          <w:i w:val="1"/>
          <w:iCs w:val="1"/>
          <w:color w:val="1a2e3b"/>
        </w:rPr>
      </w:pPr>
      <w:r w:rsidDel="00000000" w:rsidR="00000000" w:rsidRPr="00000000">
        <w:rPr>
          <w:rFonts w:ascii="Playfair Display" w:cs="Playfair Display" w:eastAsia="Playfair Display" w:hAnsi="Playfair Display"/>
          <w:i w:val="1"/>
          <w:iCs w:val="1"/>
          <w:color w:val="1a2e3b"/>
          <w:rtl w:val="0"/>
        </w:rPr>
        <w:t xml:space="preserve">"Une organisation qui ne gère que les crises déclarées travaille toujours avec un temps de retard. La veille est la première ligne de défense."</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kc90y254mv4o" w:id="2"/>
      <w:bookmarkEnd w:id="2"/>
      <w:r w:rsidDel="00000000" w:rsidR="00000000" w:rsidRPr="00000000">
        <w:rPr>
          <w:rFonts w:ascii="Playfair Display" w:cs="Playfair Display" w:eastAsia="Playfair Display" w:hAnsi="Playfair Display"/>
          <w:b w:val="1"/>
          <w:bCs w:val="1"/>
          <w:color w:val="1a2e3b"/>
          <w:sz w:val="34"/>
          <w:szCs w:val="34"/>
          <w:rtl w:val="0"/>
        </w:rPr>
        <w:t xml:space="preserve">Phase 1 — L'audit de vulnérabilité</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Toute stratégie anti-crise sérieuse commence par un diagnostic honnête des zones de fragilité de l'organisation. Cet audit de vulnérabilité cartographie les risques par nature : risques opérationnels (accidents, ruptures de service), risques réputationnels (comportements, pratiques internes), risques exogènes (contexte politique, rumeurs concurrentielles), risques numériques (piratage, usurpation d'identité en ligne).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Pour chaque risque identifié, on évalue la probabilité d'occurrence et l'impact potentiel sur les parties prenantes. Cette matrice permet de prioriser les efforts de préparation et de concentrer les ressources sur les scénarios les plus probables et les plus dommageables.</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6x8pvo2th6gt" w:id="3"/>
      <w:bookmarkEnd w:id="3"/>
      <w:r w:rsidDel="00000000" w:rsidR="00000000" w:rsidRPr="00000000">
        <w:rPr>
          <w:rFonts w:ascii="Playfair Display" w:cs="Playfair Display" w:eastAsia="Playfair Display" w:hAnsi="Playfair Display"/>
          <w:b w:val="1"/>
          <w:bCs w:val="1"/>
          <w:color w:val="1a2e3b"/>
          <w:sz w:val="34"/>
          <w:szCs w:val="34"/>
          <w:rtl w:val="0"/>
        </w:rPr>
        <w:t xml:space="preserve">Phase 2 — La cellule de crise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Une cellule de crise efficace ne s'improvise pas le jour J. Elle est constituée, formée et rodée en amont. Elle comprend systématiquement : un décideur légitime (DG, Président), un responsable communication, un juriste, un expert technique sectoriel et, selon les secteurs, un expert médical ou environnemental.</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jc w:val="both"/>
        <w:rPr>
          <w:color w:val="3a3530"/>
          <w:u w:val="none"/>
        </w:rPr>
      </w:pPr>
      <w:r w:rsidDel="00000000" w:rsidR="00000000" w:rsidRPr="00000000">
        <w:rPr>
          <w:color w:val="3a3530"/>
          <w:rtl w:val="0"/>
        </w:rPr>
        <w:t xml:space="preserve">Définir clairement qui décide, qui parle, qui coordonne</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jc w:val="both"/>
        <w:rPr>
          <w:color w:val="3a3530"/>
          <w:u w:val="none"/>
        </w:rPr>
      </w:pPr>
      <w:r w:rsidDel="00000000" w:rsidR="00000000" w:rsidRPr="00000000">
        <w:rPr>
          <w:color w:val="3a3530"/>
          <w:rtl w:val="0"/>
        </w:rPr>
        <w:t xml:space="preserve">Disposer d'une liste de contacts médias, institutionnels et partenaires actualisée</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jc w:val="both"/>
        <w:rPr>
          <w:color w:val="3a3530"/>
          <w:u w:val="none"/>
        </w:rPr>
      </w:pPr>
      <w:r w:rsidDel="00000000" w:rsidR="00000000" w:rsidRPr="00000000">
        <w:rPr>
          <w:color w:val="3a3530"/>
          <w:rtl w:val="0"/>
        </w:rPr>
        <w:t xml:space="preserve">Établir des protocoles d'escalade selon la gravité de la crise</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280" w:line="408" w:lineRule="auto"/>
        <w:ind w:left="720" w:hanging="360"/>
        <w:jc w:val="both"/>
        <w:rPr>
          <w:color w:val="3a3530"/>
          <w:u w:val="none"/>
        </w:rPr>
      </w:pPr>
      <w:r w:rsidDel="00000000" w:rsidR="00000000" w:rsidRPr="00000000">
        <w:rPr>
          <w:color w:val="3a3530"/>
          <w:rtl w:val="0"/>
        </w:rPr>
        <w:t xml:space="preserve">Prévoir des espaces de réunion sécurisés et des canaux de communication de secours</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d6ayeej5pk95" w:id="4"/>
      <w:bookmarkEnd w:id="4"/>
      <w:r w:rsidDel="00000000" w:rsidR="00000000" w:rsidRPr="00000000">
        <w:rPr>
          <w:rFonts w:ascii="Playfair Display" w:cs="Playfair Display" w:eastAsia="Playfair Display" w:hAnsi="Playfair Display"/>
          <w:b w:val="1"/>
          <w:bCs w:val="1"/>
          <w:color w:val="1a2e3b"/>
          <w:sz w:val="34"/>
          <w:szCs w:val="34"/>
          <w:rtl w:val="0"/>
        </w:rPr>
        <w:t xml:space="preserve">Phase 3 — Les messages-clés préparés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L'une des erreurs les plus coûteuses en gestion de crise est de rédiger les premiers messages sous la pression de l'événement. Les organisations préparées disposent de "messages-clés de crise" rédigés à froid, validés juridiquement, adaptés à chaque type de scénario. Ces messages ne présupposent pas les détails — ils posent le cadre : positionnement de l'organisation, valeurs mobilisées, engagement envers les parties prenantes.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En 24 à 48 heures, une organisation doit être capable de publier une déclaration officielle, d'activer ses porte-paroles formés, d'informer ses publics internes, et de commencer à contrôler le récit dans les médias. Ce n'est possible qu'avec une préparation préalable.</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qo622wjac76t" w:id="5"/>
      <w:bookmarkEnd w:id="5"/>
      <w:r w:rsidDel="00000000" w:rsidR="00000000" w:rsidRPr="00000000">
        <w:rPr>
          <w:rFonts w:ascii="Playfair Display" w:cs="Playfair Display" w:eastAsia="Playfair Display" w:hAnsi="Playfair Display"/>
          <w:b w:val="1"/>
          <w:bCs w:val="1"/>
          <w:color w:val="1a2e3b"/>
          <w:sz w:val="34"/>
          <w:szCs w:val="34"/>
          <w:rtl w:val="0"/>
        </w:rPr>
        <w:t xml:space="preserve">Phase 4 — La veille en temps réel</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La détection précoce est le pilier souvent négligé de la gestion de crise. En Afrique subsaharienne, cela implique une veille multicanale : presse écrite nationale et régionale, radio (vecteur d'information primaire dans de nombreux pays), réseaux sociaux (Twitter/X, Facebook, TikTok, WhatsApp), mais aussi les "capteurs terrain" — correspondants locaux, partenaires associatifs, syndicats. Une anomalie détectée 72 heures avant qu'elle ne devienne virale laisse le temps d'agir. Détectée après, elle impose de subir.</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o416d3273kx" w:id="6"/>
      <w:bookmarkEnd w:id="6"/>
      <w:r w:rsidDel="00000000" w:rsidR="00000000" w:rsidRPr="00000000">
        <w:rPr>
          <w:rFonts w:ascii="Playfair Display" w:cs="Playfair Display" w:eastAsia="Playfair Display" w:hAnsi="Playfair Display"/>
          <w:b w:val="1"/>
          <w:bCs w:val="1"/>
          <w:color w:val="1a2e3b"/>
          <w:sz w:val="34"/>
          <w:szCs w:val="34"/>
          <w:rtl w:val="0"/>
        </w:rPr>
        <w:t xml:space="preserve">L'après-crise : transformer l'épreuve en capital</w:t>
      </w:r>
    </w:p>
    <w:p w:rsidR="00000000" w:rsidDel="00000000" w:rsidP="00000000" w:rsidRDefault="00000000" w:rsidRPr="00000000" w14:paraId="0000001C">
      <w:pPr>
        <w:pStyle w:val="Heading2"/>
        <w:jc w:val="both"/>
        <w:rPr>
          <w:b w:val="0"/>
          <w:bCs w:val="0"/>
        </w:rPr>
      </w:pPr>
      <w:bookmarkStart w:colFirst="0" w:colLast="0" w:name="_1ddsihwqln9i" w:id="7"/>
      <w:bookmarkEnd w:id="7"/>
      <w:r w:rsidDel="00000000" w:rsidR="00000000" w:rsidRPr="00000000">
        <w:rPr>
          <w:b w:val="0"/>
          <w:bCs w:val="0"/>
          <w:rtl w:val="0"/>
        </w:rPr>
        <w:t xml:space="preserve">Les organisations qui traversent une crise avec intégrité, transparence et célérité en ressortent souvent renforcées. La communication post-crise — bilan, leçons tirées, engagements pris — est une opportunité rare de consolider la confiance des parties prenantes. Elle transforme une cicatrice en preuve de résilience institutionnelle.</w:t>
        <w:br w:type="textWrapping"/>
      </w:r>
      <w:r w:rsidDel="00000000" w:rsidR="00000000" w:rsidRPr="00000000">
        <w:rPr>
          <w:rtl w:val="0"/>
        </w:rPr>
        <w:br w:type="textWrapping"/>
      </w:r>
      <w:r w:rsidDel="00000000" w:rsidR="00000000" w:rsidRPr="00000000">
        <w:rPr>
          <w:rFonts w:ascii="Playfair Display SemiBold" w:cs="Playfair Display SemiBold" w:eastAsia="Playfair Display SemiBold" w:hAnsi="Playfair Display SemiBold"/>
          <w:b w:val="0"/>
          <w:bCs w:val="0"/>
          <w:color w:val="1a2e3b"/>
          <w:sz w:val="34"/>
          <w:szCs w:val="34"/>
          <w:rtl w:val="0"/>
        </w:rPr>
        <w:t xml:space="preserve">Le rôle pivot du simulateur de crise</w:t>
      </w:r>
      <w:r w:rsidDel="00000000" w:rsidR="00000000" w:rsidRPr="00000000">
        <w:rPr>
          <w:rtl w:val="0"/>
        </w:rPr>
        <w:t xml:space="preserve"> </w:t>
        <w:br w:type="textWrapping"/>
      </w:r>
      <w:r w:rsidDel="00000000" w:rsidR="00000000" w:rsidRPr="00000000">
        <w:rPr>
          <w:b w:val="0"/>
          <w:bCs w:val="0"/>
          <w:rtl w:val="0"/>
        </w:rPr>
        <w:t xml:space="preserve">Au-delà des protocoles, la résilience réelle s'acquiert par la simulation. Nous préconisons la mise en place de "War Rooms" annuelles où les dirigeants sont confrontés à des scénarios de crise hybrides (cyber-attaque doublée d'une rumeur WhatsApp). C'est dans ce chaos contrôlé que l'on teste la rapidité de la chaîne de décision. La suite logique de votre préparation est l'établissement d'une "Dark Site" — une interface web pré-conçue, prête à être activée en 15 minutes pour centraliser l'information officielle dès les premières secondes d'un incident.</w:t>
      </w:r>
    </w:p>
    <w:p w:rsidR="00000000" w:rsidDel="00000000" w:rsidP="00000000" w:rsidRDefault="00000000" w:rsidRPr="00000000" w14:paraId="0000001D">
      <w:pPr>
        <w:jc w:val="center"/>
        <w:rPr>
          <w:color w:val="3a3530"/>
        </w:rPr>
      </w:pPr>
      <w:r w:rsidDel="00000000" w:rsidR="00000000" w:rsidRPr="00000000">
        <w:rPr>
          <w:color w:val="3a3530"/>
          <w:rtl w:val="0"/>
        </w:rPr>
        <w:t xml:space="preserve">——— • ———</w:t>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spacing w:line="360" w:lineRule="auto"/>
        <w:rPr>
          <w:color w:val="3a3530"/>
        </w:rPr>
      </w:pPr>
      <w:r w:rsidDel="00000000" w:rsidR="00000000" w:rsidRPr="00000000">
        <w:rPr>
          <w:b w:val="1"/>
          <w:bCs w:val="1"/>
          <w:color w:val="3a3530"/>
          <w:rtl w:val="0"/>
        </w:rPr>
        <w:t xml:space="preserve">En pratique :</w:t>
      </w:r>
      <w:r w:rsidDel="00000000" w:rsidR="00000000" w:rsidRPr="00000000">
        <w:rPr>
          <w:color w:val="3a3530"/>
          <w:rtl w:val="0"/>
        </w:rPr>
        <w:t xml:space="preserve"> La suite logique est l'établissement d'une "Dark Site" — une interface web pré-conçue, prête à être activée en 15 minutes. Dans la tempête, la clarté est votre seule boussole. Préparez-la avant que le ciel ne s'assombrisse.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220" w:line="420" w:lineRule="auto"/>
    </w:pPr>
    <w:rPr>
      <w:b w:val="1"/>
      <w:bCs w:val="1"/>
      <w:color w:val="3a35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PlayfairDisplaySemiBold-regular.ttf"/><Relationship Id="rId6" Type="http://schemas.openxmlformats.org/officeDocument/2006/relationships/font" Target="fonts/PlayfairDisplaySemiBold-bold.ttf"/><Relationship Id="rId7" Type="http://schemas.openxmlformats.org/officeDocument/2006/relationships/font" Target="fonts/PlayfairDisplaySemiBold-italic.ttf"/><Relationship Id="rId8" Type="http://schemas.openxmlformats.org/officeDocument/2006/relationships/font" Target="fonts/PlayfairDisplay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