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rPr>
          <w:color w:val="8b5cf6"/>
        </w:rPr>
      </w:pPr>
      <w:r w:rsidDel="00000000" w:rsidR="00000000" w:rsidRPr="00000000">
        <w:rPr>
          <w:color w:val="8b5cf6"/>
          <w:rtl w:val="0"/>
        </w:rPr>
        <w:t xml:space="preserve">Relations Publiques</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Playfair Display" w:cs="Playfair Display" w:eastAsia="Playfair Display" w:hAnsi="Playfair Display"/>
          <w:b w:val="1"/>
          <w:bCs w:val="1"/>
          <w:color w:val="1a2e3b"/>
          <w:sz w:val="46"/>
          <w:szCs w:val="46"/>
        </w:rPr>
      </w:pPr>
      <w:bookmarkStart w:colFirst="0" w:colLast="0" w:name="_pk7njeet4nmm" w:id="0"/>
      <w:bookmarkEnd w:id="0"/>
      <w:r w:rsidDel="00000000" w:rsidR="00000000" w:rsidRPr="00000000">
        <w:rPr>
          <w:rFonts w:ascii="Playfair Display" w:cs="Playfair Display" w:eastAsia="Playfair Display" w:hAnsi="Playfair Display"/>
          <w:b w:val="1"/>
          <w:bCs w:val="1"/>
          <w:color w:val="1a2e3b"/>
          <w:sz w:val="46"/>
          <w:szCs w:val="46"/>
          <w:rtl w:val="0"/>
        </w:rPr>
        <w:t xml:space="preserve">Lobbying et affaires publiques : les fondamentaux pour l'Afrique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395.99999999999994" w:lineRule="auto"/>
        <w:rPr>
          <w:i w:val="1"/>
          <w:iCs w:val="1"/>
          <w:color w:val="6b6460"/>
        </w:rPr>
      </w:pPr>
      <w:r w:rsidDel="00000000" w:rsidR="00000000" w:rsidRPr="00000000">
        <w:rPr>
          <w:i w:val="1"/>
          <w:iCs w:val="1"/>
          <w:color w:val="6b6460"/>
          <w:rtl w:val="0"/>
        </w:rPr>
        <w:t xml:space="preserve">Influencer les politiques publiques en Afrique requiert une compréhension fine des pouvoirs formels et informels. Un art subtil, mais décisif.</w:t>
      </w:r>
    </w:p>
    <w:p w:rsidR="00000000" w:rsidDel="00000000" w:rsidP="00000000" w:rsidRDefault="00000000" w:rsidRPr="00000000" w14:paraId="00000005">
      <w:pPr>
        <w:shd w:fill="ffffff" w:val="clear"/>
        <w:rPr>
          <w:color w:val="6b6460"/>
        </w:rPr>
      </w:pPr>
      <w:r w:rsidDel="00000000" w:rsidR="00000000" w:rsidRPr="00000000">
        <w:rPr>
          <w:color w:val="6b6460"/>
          <w:rtl w:val="0"/>
        </w:rPr>
        <w:t xml:space="preserve">🗓 Avril 2026</w:t>
      </w:r>
    </w:p>
    <w:p w:rsidR="00000000" w:rsidDel="00000000" w:rsidP="00000000" w:rsidRDefault="00000000" w:rsidRPr="00000000" w14:paraId="00000006">
      <w:pPr>
        <w:shd w:fill="ffffff" w:val="clear"/>
        <w:rPr>
          <w:color w:val="6b6460"/>
        </w:rPr>
      </w:pPr>
      <w:r w:rsidDel="00000000" w:rsidR="00000000" w:rsidRPr="00000000">
        <w:rPr>
          <w:rFonts w:ascii="Arial Unicode MS" w:cs="Arial Unicode MS" w:eastAsia="Arial Unicode MS" w:hAnsi="Arial Unicode MS"/>
          <w:color w:val="6b6460"/>
          <w:rtl w:val="0"/>
        </w:rPr>
        <w:t xml:space="preserve">⏱ 8 min de lecture</w:t>
      </w:r>
    </w:p>
    <w:p w:rsidR="00000000" w:rsidDel="00000000" w:rsidP="00000000" w:rsidRDefault="00000000" w:rsidRPr="00000000" w14:paraId="00000007">
      <w:pPr>
        <w:shd w:fill="ffffff" w:val="clear"/>
        <w:rPr>
          <w:color w:val="6b6460"/>
        </w:rPr>
      </w:pPr>
      <w:r w:rsidDel="00000000" w:rsidR="00000000" w:rsidRPr="00000000">
        <w:rPr>
          <w:color w:val="6b6460"/>
          <w:rtl w:val="0"/>
        </w:rPr>
        <w:t xml:space="preserve"> Dakar, Sénégal</w:t>
      </w:r>
    </w:p>
    <w:p w:rsidR="00000000" w:rsidDel="00000000" w:rsidP="00000000" w:rsidRDefault="00000000" w:rsidRPr="00000000" w14:paraId="00000008">
      <w:pPr>
        <w:rPr>
          <w:color w:val="0f0e0d"/>
        </w:rPr>
      </w:pPr>
      <w:r w:rsidDel="00000000" w:rsidR="00000000" w:rsidRPr="00000000">
        <w:rPr>
          <w:color w:val="0f0e0d"/>
          <w:rtl w:val="0"/>
        </w:rPr>
        <w:t xml:space="preserve"> </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Playfair Display" w:cs="Playfair Display" w:eastAsia="Playfair Display" w:hAnsi="Playfair Display"/>
          <w:b w:val="1"/>
          <w:bCs w:val="1"/>
          <w:color w:val="1a2e3b"/>
          <w:sz w:val="34"/>
          <w:szCs w:val="34"/>
        </w:rPr>
      </w:pPr>
      <w:bookmarkStart w:colFirst="0" w:colLast="0" w:name="_e4e10jod29yh" w:id="1"/>
      <w:bookmarkEnd w:id="1"/>
      <w:r w:rsidDel="00000000" w:rsidR="00000000" w:rsidRPr="00000000">
        <w:rPr>
          <w:rFonts w:ascii="Playfair Display" w:cs="Playfair Display" w:eastAsia="Playfair Display" w:hAnsi="Playfair Display"/>
          <w:b w:val="1"/>
          <w:bCs w:val="1"/>
          <w:color w:val="1a2e3b"/>
          <w:sz w:val="34"/>
          <w:szCs w:val="34"/>
          <w:rtl w:val="0"/>
        </w:rPr>
        <w:t xml:space="preserve">Démystifier le lobbying en contexte africain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 mot "lobbying" reste souvent mal compris ou connoté négativement en Afrique, associé à tort à la corruption ou aux pratiques opaques. Or, dans son acception stricte, le lobbying désigne l'ensemble des activités légitimes visant à influencer les décisions publiques en faveur d'intérêts privés ou collectifs — par le dialogue, l'argumentation, la production de preuves et la construction de coalitions. C'est une pratique démocratique essentielle, à condition d'être conduite avec éthique et transparence.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En Afrique subsaharienne, les affaires publiques prennent des formes spécifiques, fortement influencées par des dynamiques relationnelles, des logiques communautaires et des réseaux informels dont il serait naïf de faire abstraction. Comprendre ces réalités est la première condition pour opérer efficacement dans ce domaine.</w:t>
      </w:r>
    </w:p>
    <w:p w:rsidR="00000000" w:rsidDel="00000000" w:rsidP="00000000" w:rsidRDefault="00000000" w:rsidRPr="00000000" w14:paraId="0000000C">
      <w:pPr>
        <w:shd w:fill="f5f0e8" w:val="clear"/>
        <w:spacing w:after="360" w:before="360" w:line="360" w:lineRule="auto"/>
        <w:rPr>
          <w:rFonts w:ascii="Playfair Display" w:cs="Playfair Display" w:eastAsia="Playfair Display" w:hAnsi="Playfair Display"/>
          <w:i w:val="1"/>
          <w:iCs w:val="1"/>
          <w:color w:val="1a2e3b"/>
        </w:rPr>
      </w:pPr>
      <w:r w:rsidDel="00000000" w:rsidR="00000000" w:rsidRPr="00000000">
        <w:rPr>
          <w:rFonts w:ascii="Playfair Display" w:cs="Playfair Display" w:eastAsia="Playfair Display" w:hAnsi="Playfair Display"/>
          <w:i w:val="1"/>
          <w:iCs w:val="1"/>
          <w:color w:val="1a2e3b"/>
          <w:rtl w:val="0"/>
        </w:rPr>
        <w:t xml:space="preserve">"En Afrique, les décisions publiques se préparent souvent dans des espaces informels avant d'être formalisées dans les institutions. L'influence commence bien avant le vote."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nna57m53is2o" w:id="2"/>
      <w:bookmarkEnd w:id="2"/>
      <w:r w:rsidDel="00000000" w:rsidR="00000000" w:rsidRPr="00000000">
        <w:rPr>
          <w:rFonts w:ascii="Playfair Display" w:cs="Playfair Display" w:eastAsia="Playfair Display" w:hAnsi="Playfair Display"/>
          <w:b w:val="1"/>
          <w:bCs w:val="1"/>
          <w:color w:val="1a2e3b"/>
          <w:sz w:val="34"/>
          <w:szCs w:val="34"/>
          <w:rtl w:val="0"/>
        </w:rPr>
        <w:t xml:space="preserve">Cartographier les pouvoirs formels et informels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Toute stratégie d'affaires publiques commence par une cartographie rigoureuse de l'écosystème décisionnel. Sur le continent africain, cette cartographie doit impérativement intégrer les deux niveaux de pouvoir : le pouvoir formel — gouvernement, parlement, administrations sectorielles, agences de régulation — et le pouvoir informel, souvent plus déterminant : autorités religieuses, chefferies traditionnelles, associations professionnelles, syndicats, diaspora influente, réseaux d'alumni des grandes écoles.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Cette double cartographie révèle souvent des vecteurs d'influence inattendus. Un chef religieux respecté qui soutient publiquement une politique peut valoir plus, en termes d'adhésion populaire, que dix déclarations ministérielles. Un syndicat bien implanté qui s'oppose à une réforme peut en bloquer l'application malgré une adoption parlementaire formelle.</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p1eorops1ewe" w:id="3"/>
      <w:bookmarkEnd w:id="3"/>
      <w:r w:rsidDel="00000000" w:rsidR="00000000" w:rsidRPr="00000000">
        <w:rPr>
          <w:rFonts w:ascii="Playfair Display" w:cs="Playfair Display" w:eastAsia="Playfair Display" w:hAnsi="Playfair Display"/>
          <w:b w:val="1"/>
          <w:bCs w:val="1"/>
          <w:color w:val="1a2e3b"/>
          <w:sz w:val="34"/>
          <w:szCs w:val="34"/>
          <w:rtl w:val="0"/>
        </w:rPr>
        <w:t xml:space="preserve">Construire des coalitions durables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 lobbying solitaire est le lobbying le moins efficace. Les stratégies d'influence qui obtiennent des résultats durables sont celles qui rassemblent des coalitions larges — associations professionnelles, société civile, acteurs académiques, partenaires internationaux. Cette coalition démultiplie la crédibilité du plaidoyer, élargit les réseaux de contacts et distribue le risque de décrédibilisation.</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Identifier les alliés naturels et les partenaires inattendus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Définir un récit commun qui transcende les intérêts particuliers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Coordonner les prises de parole pour éviter les messages contradictoires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280" w:line="408" w:lineRule="auto"/>
        <w:ind w:left="720" w:hanging="360"/>
        <w:rPr>
          <w:color w:val="3a3530"/>
        </w:rPr>
      </w:pPr>
      <w:r w:rsidDel="00000000" w:rsidR="00000000" w:rsidRPr="00000000">
        <w:rPr>
          <w:color w:val="3a3530"/>
          <w:rtl w:val="0"/>
        </w:rPr>
        <w:t xml:space="preserve">Gérer les dissensions internes avec diplomatie et discrétion</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gc69wmf4px37" w:id="4"/>
      <w:bookmarkEnd w:id="4"/>
      <w:r w:rsidDel="00000000" w:rsidR="00000000" w:rsidRPr="00000000">
        <w:rPr>
          <w:rFonts w:ascii="Playfair Display" w:cs="Playfair Display" w:eastAsia="Playfair Display" w:hAnsi="Playfair Display"/>
          <w:b w:val="1"/>
          <w:bCs w:val="1"/>
          <w:color w:val="1a2e3b"/>
          <w:sz w:val="34"/>
          <w:szCs w:val="34"/>
          <w:rtl w:val="0"/>
        </w:rPr>
        <w:t xml:space="preserve">Le rôle décisif des données et de l'expertise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Les décideurs africains sont de plus en plus exigeants sur la qualité des arguments qui leur sont soumis. Les stratégies de lobbying fondées sur des données robustes, des études d'impact crédibles et des comparaisons internationales pertinentes ont un avantage décisif sur celles qui reposent sur de simples pétitions d'intérêts. Investir dans la production de connaissances — études sectorielles, rapports de terrain, analyses juridiques — est désormais une condition de l'influence durable.</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fl1x4asf6egb" w:id="5"/>
      <w:bookmarkEnd w:id="5"/>
      <w:r w:rsidDel="00000000" w:rsidR="00000000" w:rsidRPr="00000000">
        <w:rPr>
          <w:rFonts w:ascii="Playfair Display" w:cs="Playfair Display" w:eastAsia="Playfair Display" w:hAnsi="Playfair Display"/>
          <w:b w:val="1"/>
          <w:bCs w:val="1"/>
          <w:color w:val="1a2e3b"/>
          <w:sz w:val="34"/>
          <w:szCs w:val="34"/>
          <w:rtl w:val="0"/>
        </w:rPr>
        <w:t xml:space="preserve">L'éthique, socle de la crédibilité à long terme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En matière d'affaires publiques, la réputation est l'actif le plus précieux et le plus fragile. Une organisation qui cherche à influencer les politiques publiques par des voies illicites — corruption, informations manipulées, pressions illégitimes — peut obtenir un résultat à court terme, mais hypothèque définitivement sa capacité d'influence future. Dans un continent où les réseaux de confiance sont étroits et où l'information circule vite, les pratiques douteuses se révèlent inévitablement. L'éthique n'est pas seulement une valeur : c'est une stratégie de long terme.</w:t>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pacing w:after="220" w:line="420" w:lineRule="auto"/>
        <w:rPr>
          <w:rFonts w:ascii="Playfair Display SemiBold" w:cs="Playfair Display SemiBold" w:eastAsia="Playfair Display SemiBold" w:hAnsi="Playfair Display SemiBold"/>
          <w:color w:val="1a2e3b"/>
          <w:sz w:val="34"/>
          <w:szCs w:val="34"/>
        </w:rPr>
      </w:pPr>
      <w:bookmarkStart w:colFirst="0" w:colLast="0" w:name="_hhzq4s9feup" w:id="6"/>
      <w:bookmarkEnd w:id="6"/>
      <w:r w:rsidDel="00000000" w:rsidR="00000000" w:rsidRPr="00000000">
        <w:rPr>
          <w:rFonts w:ascii="Playfair Display SemiBold" w:cs="Playfair Display SemiBold" w:eastAsia="Playfair Display SemiBold" w:hAnsi="Playfair Display SemiBold"/>
          <w:color w:val="1a2e3b"/>
          <w:sz w:val="34"/>
          <w:szCs w:val="34"/>
          <w:rtl w:val="0"/>
        </w:rPr>
        <w:t xml:space="preserve">Vers une certification éthique des affaires publiques</w:t>
      </w:r>
      <w:r w:rsidDel="00000000" w:rsidR="00000000" w:rsidRPr="00000000">
        <w:rPr>
          <w:rFonts w:ascii="Playfair Display SemiBold" w:cs="Playfair Display SemiBold" w:eastAsia="Playfair Display SemiBold" w:hAnsi="Playfair Display SemiBold"/>
          <w:color w:val="1a2e3b"/>
          <w:sz w:val="34"/>
          <w:szCs w:val="3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Pour sortir le lobbying de l'ombre, les acteurs du secteur privé au Sénégal et dans la sous-région doivent s'accorder sur des chartes de transparence. La suite du plaidoyer moderne repose sur le "Lobbying par la preuve" : financer des recherches académiques indépendantes qui démontrent l'intérêt général d'une réforme économique. En devenant une source de données fiable pour le régulateur, l'entreprise ne sollicite plus une faveur, elle apporte une solution à l'État.</w:t>
      </w:r>
    </w:p>
    <w:p w:rsidR="00000000" w:rsidDel="00000000" w:rsidP="00000000" w:rsidRDefault="00000000" w:rsidRPr="00000000" w14:paraId="0000001C">
      <w:pPr>
        <w:spacing w:after="200" w:line="360" w:lineRule="auto"/>
        <w:jc w:val="center"/>
        <w:rPr/>
      </w:pPr>
      <w:r w:rsidDel="00000000" w:rsidR="00000000" w:rsidRPr="00000000">
        <w:rPr>
          <w:color w:val="3a3530"/>
          <w:rtl w:val="0"/>
        </w:rPr>
        <w:t xml:space="preserve">——— • ———</w:t>
      </w:r>
      <w:r w:rsidDel="00000000" w:rsidR="00000000" w:rsidRPr="00000000">
        <w:rPr>
          <w:rtl w:val="0"/>
        </w:rPr>
      </w:r>
    </w:p>
    <w:p w:rsidR="00000000" w:rsidDel="00000000" w:rsidP="00000000" w:rsidRDefault="00000000" w:rsidRPr="00000000" w14:paraId="0000001D">
      <w:pPr>
        <w:spacing w:line="360" w:lineRule="auto"/>
        <w:rPr>
          <w:color w:val="3a3530"/>
        </w:rPr>
      </w:pPr>
      <w:r w:rsidDel="00000000" w:rsidR="00000000" w:rsidRPr="00000000">
        <w:rPr>
          <w:b w:val="1"/>
          <w:bCs w:val="1"/>
          <w:color w:val="3a3530"/>
          <w:rtl w:val="0"/>
        </w:rPr>
        <w:t xml:space="preserve">L'essentiel :</w:t>
      </w:r>
      <w:r w:rsidDel="00000000" w:rsidR="00000000" w:rsidRPr="00000000">
        <w:rPr>
          <w:color w:val="3a3530"/>
          <w:rtl w:val="0"/>
        </w:rPr>
        <w:t xml:space="preserve"> En devenant une source de données fiable pour le régulateur, l'entreprise ne sollicite plus une faveur, elle apporte une solution concrète à l'État. L'influence durable ne s'achète pas, elle se gagne.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0e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PlayfairDisplaySemiBold-regular.ttf"/><Relationship Id="rId6" Type="http://schemas.openxmlformats.org/officeDocument/2006/relationships/font" Target="fonts/PlayfairDisplaySemiBold-bold.ttf"/><Relationship Id="rId7" Type="http://schemas.openxmlformats.org/officeDocument/2006/relationships/font" Target="fonts/PlayfairDisplaySemiBold-italic.ttf"/><Relationship Id="rId8" Type="http://schemas.openxmlformats.org/officeDocument/2006/relationships/font" Target="fonts/PlayfairDispl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