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fffff" w:val="clear"/>
        <w:rPr>
          <w:color w:val="3d9970"/>
        </w:rPr>
      </w:pPr>
      <w:r w:rsidDel="00000000" w:rsidR="00000000" w:rsidRPr="00000000">
        <w:rPr>
          <w:color w:val="3d9970"/>
          <w:rtl w:val="0"/>
        </w:rPr>
        <w:t xml:space="preserve">Digital</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rPr>
          <w:rFonts w:ascii="Playfair Display" w:cs="Playfair Display" w:eastAsia="Playfair Display" w:hAnsi="Playfair Display"/>
          <w:b w:val="1"/>
          <w:bCs w:val="1"/>
          <w:color w:val="1a2e3b"/>
          <w:sz w:val="46"/>
          <w:szCs w:val="46"/>
        </w:rPr>
      </w:pPr>
      <w:bookmarkStart w:colFirst="0" w:colLast="0" w:name="_nj8h4l72rm4n" w:id="0"/>
      <w:bookmarkEnd w:id="0"/>
      <w:r w:rsidDel="00000000" w:rsidR="00000000" w:rsidRPr="00000000">
        <w:rPr>
          <w:rFonts w:ascii="Playfair Display" w:cs="Playfair Display" w:eastAsia="Playfair Display" w:hAnsi="Playfair Display"/>
          <w:b w:val="1"/>
          <w:bCs w:val="1"/>
          <w:color w:val="1a2e3b"/>
          <w:sz w:val="46"/>
          <w:szCs w:val="46"/>
          <w:rtl w:val="0"/>
        </w:rPr>
        <w:t xml:space="preserve">Stratégie digitale : comment engager vos audiences en Afrique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rPr>
          <w:i w:val="1"/>
          <w:iCs w:val="1"/>
          <w:color w:val="6b6460"/>
        </w:rPr>
      </w:pPr>
      <w:r w:rsidDel="00000000" w:rsidR="00000000" w:rsidRPr="00000000">
        <w:rPr>
          <w:i w:val="1"/>
          <w:iCs w:val="1"/>
          <w:color w:val="6b6460"/>
          <w:rtl w:val="0"/>
        </w:rPr>
        <w:t xml:space="preserve">Le digital africain n'est pas un marché uniforme. C'est un archipel de cultures, de plateformes et d'usages que seule une stratégie sur-mesure peut conquérir.</w:t>
      </w:r>
    </w:p>
    <w:p w:rsidR="00000000" w:rsidDel="00000000" w:rsidP="00000000" w:rsidRDefault="00000000" w:rsidRPr="00000000" w14:paraId="00000005">
      <w:pPr>
        <w:shd w:fill="ffffff" w:val="clear"/>
        <w:rPr>
          <w:color w:val="6b6460"/>
        </w:rPr>
      </w:pPr>
      <w:r w:rsidDel="00000000" w:rsidR="00000000" w:rsidRPr="00000000">
        <w:rPr>
          <w:color w:val="6b6460"/>
          <w:rtl w:val="0"/>
        </w:rPr>
        <w:t xml:space="preserve">🗓 Avril 2026</w:t>
      </w:r>
    </w:p>
    <w:p w:rsidR="00000000" w:rsidDel="00000000" w:rsidP="00000000" w:rsidRDefault="00000000" w:rsidRPr="00000000" w14:paraId="00000006">
      <w:pPr>
        <w:shd w:fill="ffffff" w:val="clear"/>
        <w:rPr>
          <w:color w:val="6b6460"/>
        </w:rPr>
      </w:pPr>
      <w:r w:rsidDel="00000000" w:rsidR="00000000" w:rsidRPr="00000000">
        <w:rPr>
          <w:rFonts w:ascii="Arial Unicode MS" w:cs="Arial Unicode MS" w:eastAsia="Arial Unicode MS" w:hAnsi="Arial Unicode MS"/>
          <w:color w:val="6b6460"/>
          <w:rtl w:val="0"/>
        </w:rPr>
        <w:t xml:space="preserve">⏱ 7 min de lecture</w:t>
      </w:r>
    </w:p>
    <w:p w:rsidR="00000000" w:rsidDel="00000000" w:rsidP="00000000" w:rsidRDefault="00000000" w:rsidRPr="00000000" w14:paraId="00000007">
      <w:pPr>
        <w:shd w:fill="ffffff" w:val="clear"/>
        <w:rPr>
          <w:color w:val="6b6460"/>
        </w:rPr>
      </w:pPr>
      <w:r w:rsidDel="00000000" w:rsidR="00000000" w:rsidRPr="00000000">
        <w:rPr>
          <w:color w:val="6b6460"/>
          <w:rtl w:val="0"/>
        </w:rPr>
        <w:t xml:space="preserve"> Dakar, Sénégal</w:t>
      </w:r>
    </w:p>
    <w:p w:rsidR="00000000" w:rsidDel="00000000" w:rsidP="00000000" w:rsidRDefault="00000000" w:rsidRPr="00000000" w14:paraId="00000008">
      <w:pPr>
        <w:rPr>
          <w:color w:val="0f0e0d"/>
        </w:rPr>
      </w:pPr>
      <w:r w:rsidDel="00000000" w:rsidR="00000000" w:rsidRPr="00000000">
        <w:rPr>
          <w:color w:val="0f0e0d"/>
          <w:rtl w:val="0"/>
        </w:rPr>
        <w:t xml:space="preserve">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rPr>
          <w:rFonts w:ascii="Playfair Display" w:cs="Playfair Display" w:eastAsia="Playfair Display" w:hAnsi="Playfair Display"/>
          <w:b w:val="1"/>
          <w:bCs w:val="1"/>
          <w:color w:val="1a2e3b"/>
          <w:sz w:val="34"/>
          <w:szCs w:val="34"/>
        </w:rPr>
      </w:pPr>
      <w:bookmarkStart w:colFirst="0" w:colLast="0" w:name="_49jcrqj3d0hz" w:id="1"/>
      <w:bookmarkEnd w:id="1"/>
      <w:r w:rsidDel="00000000" w:rsidR="00000000" w:rsidRPr="00000000">
        <w:rPr>
          <w:rFonts w:ascii="Playfair Display" w:cs="Playfair Display" w:eastAsia="Playfair Display" w:hAnsi="Playfair Display"/>
          <w:b w:val="1"/>
          <w:bCs w:val="1"/>
          <w:color w:val="1a2e3b"/>
          <w:sz w:val="34"/>
          <w:szCs w:val="34"/>
          <w:rtl w:val="0"/>
        </w:rPr>
        <w:t xml:space="preserve">Le mythe du "marché digital africain"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Il n'existe pas un marché digital africain — il en existe cinquante-quatre, avec leurs propres écosystèmes, leurs propres plateformes dominantes, leurs propres rythmes de consommation. Une stratégie digitale pensée pour le Nigéria ne fonctionnera pas telle quelle au Sénégal. Une campagne optimisée pour Nairobi nécessitera une refonte complète pour Abidjan. Cette granularité est la première réalité que toute organisation active sur le continent doit intégrer.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En 2026, avec plus de 700 millions d'utilisateurs internet sur le continent et des taux de pénétration mobile qui continuent de progresser, l'Afrique représente l'un des espaces digitaux à la croissance la plus dynamique au monde. Mais cette croissance est hétérogène, mobile-first, et portée par des dynamiques culturelles profondes que les stratégies génériques ignorent à leurs risques et périls.</w:t>
      </w:r>
    </w:p>
    <w:p w:rsidR="00000000" w:rsidDel="00000000" w:rsidP="00000000" w:rsidRDefault="00000000" w:rsidRPr="00000000" w14:paraId="0000000C">
      <w:pPr>
        <w:shd w:fill="f5f0e8" w:val="clear"/>
        <w:spacing w:after="360" w:before="360" w:line="360" w:lineRule="auto"/>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"En Afrique, le digital se consomme principalement sur téléphone, dans les transports, par petites doses. Votre contenu a 3 secondes pour convaincre."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ks3dsyl3352e" w:id="2"/>
      <w:bookmarkEnd w:id="2"/>
      <w:r w:rsidDel="00000000" w:rsidR="00000000" w:rsidRPr="00000000">
        <w:rPr>
          <w:rFonts w:ascii="Playfair Display" w:cs="Playfair Display" w:eastAsia="Playfair Display" w:hAnsi="Playfair Display"/>
          <w:b w:val="1"/>
          <w:bCs w:val="1"/>
          <w:color w:val="1a2e3b"/>
          <w:sz w:val="34"/>
          <w:szCs w:val="34"/>
          <w:rtl w:val="0"/>
        </w:rPr>
        <w:t xml:space="preserve">Mobile-first, mobile-only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Plus de 85% des internautes africains accèdent au web exclusivement via leur smartphone. Cette réalité devrait bouleverser chaque décision de production de contenu : les vidéos doivent être pensées en format vertical, les sites doivent être ultra-légers et fonctionner avec une connexion limitée, les textes doivent être courts et lisibles sur petit écran. Chaque pixel de votre stratégie digitale doit être validé sur un téléphone d'entrée de gamme avec une connexion 3G instable.</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5dge2dssit2n" w:id="3"/>
      <w:bookmarkEnd w:id="3"/>
      <w:r w:rsidDel="00000000" w:rsidR="00000000" w:rsidRPr="00000000">
        <w:rPr>
          <w:rFonts w:ascii="Playfair Display" w:cs="Playfair Display" w:eastAsia="Playfair Display" w:hAnsi="Playfair Display"/>
          <w:b w:val="1"/>
          <w:bCs w:val="1"/>
          <w:color w:val="1a2e3b"/>
          <w:sz w:val="34"/>
          <w:szCs w:val="34"/>
          <w:rtl w:val="0"/>
        </w:rPr>
        <w:t xml:space="preserve">Les plateformes qui comptent, marché par marché</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Facebook reste la plateforme à la plus large audience globale sur le continent, mais TikTok a explosé chez les 15-35 ans dans toutes les capitales africaines, devenant incontournable pour la communication de marque. WhatsApp est le canal de communication inter-personnel numéro un — et une opportunité de communication institutionnelle encore sous-exploitée. Instagram domine dans les catégories lifestyle, mode, beauté et gastronomie. Twitter/X conserve son rôle de forum des élites urbaines et décideurs. YouTube est la première plateforme de divertissement long format.</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Sénégal/Afrique de l'Ouest : Facebook, WhatsApp, TikTok, YouTube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Afrique de l'Est : Twitter/X fort, Instagram croissant, TikTok dominant chez les jeunes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rPr>
          <w:color w:val="3a3530"/>
        </w:rPr>
      </w:pPr>
      <w:r w:rsidDel="00000000" w:rsidR="00000000" w:rsidRPr="00000000">
        <w:rPr>
          <w:color w:val="3a3530"/>
          <w:rtl w:val="0"/>
        </w:rPr>
        <w:t xml:space="preserve">Afrique du Nord : TikTok en explosion, Snapchat présent, Facebook solide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rPr>
          <w:color w:val="3a3530"/>
        </w:rPr>
      </w:pPr>
      <w:r w:rsidDel="00000000" w:rsidR="00000000" w:rsidRPr="00000000">
        <w:rPr>
          <w:color w:val="3a3530"/>
          <w:rtl w:val="0"/>
        </w:rPr>
        <w:t xml:space="preserve">Afrique australe : Facebook, WhatsApp, Instagram, LinkedIn actif</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yv1zodrorhxz" w:id="4"/>
      <w:bookmarkEnd w:id="4"/>
      <w:r w:rsidDel="00000000" w:rsidR="00000000" w:rsidRPr="00000000">
        <w:rPr>
          <w:rFonts w:ascii="Playfair Display" w:cs="Playfair Display" w:eastAsia="Playfair Display" w:hAnsi="Playfair Display"/>
          <w:b w:val="1"/>
          <w:bCs w:val="1"/>
          <w:color w:val="1a2e3b"/>
          <w:sz w:val="34"/>
          <w:szCs w:val="34"/>
          <w:rtl w:val="0"/>
        </w:rPr>
        <w:t xml:space="preserve">L'engagement authentique comme moteur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Les audiences africaines ont un radar très fin pour détecter l'inauthenticité. Une marque qui essaie de "faire africain" sans ancrage culturel réel sera sanctionnée. À l'inverse, une organisation qui investit dans la création de contenu ancré dans les cultures locales — en mobilisant des créateurs issus de ces cultures — génère un capital d'engagement et de confiance extraordinaire.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Les créateurs de contenu (influenceurs au sens large) jouent un rôle pivot dans cette équation. En Afrique de l'Ouest, un créateur avec 50 000 abonnés très engagés aura souvent plus d'impact qu'un compte institutionnel à 500 000 abonnés dormants. La micro-influence ciblée surpasse régulièrement la macro-influence généraliste.</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rPr>
          <w:rFonts w:ascii="Playfair Display" w:cs="Playfair Display" w:eastAsia="Playfair Display" w:hAnsi="Playfair Display"/>
          <w:b w:val="1"/>
          <w:bCs w:val="1"/>
          <w:color w:val="1a2e3b"/>
          <w:sz w:val="34"/>
          <w:szCs w:val="34"/>
        </w:rPr>
      </w:pPr>
      <w:bookmarkStart w:colFirst="0" w:colLast="0" w:name="_plwvvdi7bu7f" w:id="5"/>
      <w:bookmarkEnd w:id="5"/>
      <w:r w:rsidDel="00000000" w:rsidR="00000000" w:rsidRPr="00000000">
        <w:rPr>
          <w:rFonts w:ascii="Playfair Display" w:cs="Playfair Display" w:eastAsia="Playfair Display" w:hAnsi="Playfair Display"/>
          <w:b w:val="1"/>
          <w:bCs w:val="1"/>
          <w:color w:val="1a2e3b"/>
          <w:sz w:val="34"/>
          <w:szCs w:val="34"/>
          <w:rtl w:val="0"/>
        </w:rPr>
        <w:t xml:space="preserve">Mesurer pour optimiser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Une stratégie digitale sans mesure est une intuition, pas une stratégie. Les indicateurs à suivre varient selon les objectifs, mais dans le contexte africain, l'engagement rate (taux d'interaction par abonné) et le reach organique méritent autant d'attention que les métriques de conversion habituelles. Définir ses KPIs en amont, se doter des outils d'analyse adaptés, et réviser sa stratégie tous les trimestres sur la base des données réelles : voilà le socle d'une présence digitale performante.</w:t>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pacing w:after="220" w:line="420" w:lineRule="auto"/>
        <w:rPr>
          <w:rFonts w:ascii="Playfair Display SemiBold" w:cs="Playfair Display SemiBold" w:eastAsia="Playfair Display SemiBold" w:hAnsi="Playfair Display SemiBold"/>
          <w:b w:val="0"/>
          <w:bCs w:val="0"/>
          <w:color w:val="1a2e3b"/>
          <w:sz w:val="34"/>
          <w:szCs w:val="34"/>
        </w:rPr>
      </w:pPr>
      <w:bookmarkStart w:colFirst="0" w:colLast="0" w:name="_tp5a8ekmufns" w:id="6"/>
      <w:bookmarkEnd w:id="6"/>
      <w:r w:rsidDel="00000000" w:rsidR="00000000" w:rsidRPr="00000000">
        <w:rPr>
          <w:rFonts w:ascii="Playfair Display SemiBold" w:cs="Playfair Display SemiBold" w:eastAsia="Playfair Display SemiBold" w:hAnsi="Playfair Display SemiBold"/>
          <w:b w:val="0"/>
          <w:bCs w:val="0"/>
          <w:color w:val="1a2e3b"/>
          <w:sz w:val="34"/>
          <w:szCs w:val="34"/>
          <w:rtl w:val="0"/>
        </w:rPr>
        <w:t xml:space="preserve">L'IA et l'hyper-personnalisation communautaire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color w:val="3a3530"/>
          <w:rtl w:val="0"/>
        </w:rPr>
        <w:t xml:space="preserve">La prochaine frontière du digital africain est l'automatisation intelligente du service citoyen ou client via WhatsApp. En utilisant des agents IA capables de comprendre les nuances linguistiques locales, les organisations peuvent transformer une simple présence sociale en un véritable outil de dialogue de proximité. La stratégie de demain ne consistera plus à diffuser un message à des millions de personnes, mais à tenir des millions de conversations individuelles et pertinentes.</w:t>
      </w:r>
    </w:p>
    <w:p w:rsidR="00000000" w:rsidDel="00000000" w:rsidP="00000000" w:rsidRDefault="00000000" w:rsidRPr="00000000" w14:paraId="0000001C">
      <w:pPr>
        <w:spacing w:line="360" w:lineRule="auto"/>
        <w:jc w:val="center"/>
        <w:rPr>
          <w:color w:val="3a3530"/>
        </w:rPr>
      </w:pPr>
      <w:r w:rsidDel="00000000" w:rsidR="00000000" w:rsidRPr="00000000">
        <w:rPr>
          <w:color w:val="3a3530"/>
          <w:rtl w:val="0"/>
        </w:rPr>
        <w:t xml:space="preserve">——— •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420" w:lineRule="auto"/>
        <w:rPr>
          <w:color w:val="3a3530"/>
        </w:rPr>
      </w:pPr>
      <w:r w:rsidDel="00000000" w:rsidR="00000000" w:rsidRPr="00000000">
        <w:rPr>
          <w:b w:val="1"/>
          <w:bCs w:val="1"/>
          <w:color w:val="3a3530"/>
          <w:rtl w:val="0"/>
        </w:rPr>
        <w:t xml:space="preserve">Perspective :</w:t>
      </w:r>
      <w:r w:rsidDel="00000000" w:rsidR="00000000" w:rsidRPr="00000000">
        <w:rPr>
          <w:color w:val="3a3530"/>
          <w:rtl w:val="0"/>
        </w:rPr>
        <w:t xml:space="preserve"> La stratégie de demain ne consistera plus à diffuser un message à des millions de personnes, mais à tenir des millions de conversations individuelles et pertinentes. Bienvenue dans l'ère de l'hyper-proximité numérique. ■</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0e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20" w:line="420" w:lineRule="auto"/>
    </w:pPr>
    <w:rPr>
      <w:b w:val="1"/>
      <w:bCs w:val="1"/>
      <w:color w:val="3a35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PlayfairDisplaySemiBold-regular.ttf"/><Relationship Id="rId6" Type="http://schemas.openxmlformats.org/officeDocument/2006/relationships/font" Target="fonts/PlayfairDisplaySemiBold-bold.ttf"/><Relationship Id="rId7" Type="http://schemas.openxmlformats.org/officeDocument/2006/relationships/font" Target="fonts/PlayfairDisplaySemiBold-italic.ttf"/><Relationship Id="rId8" Type="http://schemas.openxmlformats.org/officeDocument/2006/relationships/font" Target="fonts/PlayfairDispl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