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18B5077" w:rsidR="003E2A3C" w:rsidRPr="00D61191" w:rsidRDefault="009821A3" w:rsidP="00107428">
      <w:pPr>
        <w:pStyle w:val="Heading1"/>
        <w:jc w:val="center"/>
      </w:pPr>
      <w:r>
        <w:t>Exercise</w:t>
      </w:r>
      <w:r w:rsidR="006E109A" w:rsidRPr="00D61191">
        <w:t xml:space="preserve">: </w:t>
      </w:r>
      <w:r w:rsidR="00107428">
        <w:rPr>
          <w:bCs/>
        </w:rPr>
        <w:t>Intro and Basic Syntax</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29E72714"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lastRenderedPageBreak/>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283BBC8F"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16BD85EE" w14:textId="3A5DBA79" w:rsidR="0025275B" w:rsidRPr="0025275B" w:rsidRDefault="0025275B" w:rsidP="0025275B">
      <w:pPr>
        <w:spacing w:after="160"/>
        <w:rPr>
          <w:b/>
        </w:rPr>
      </w:pPr>
      <w:r>
        <w:rPr>
          <w:b/>
        </w:rPr>
        <w:t>You should reduce the prices in that EXACT order</w:t>
      </w:r>
      <w:bookmarkStart w:id="0" w:name="_GoBack"/>
      <w:bookmarkEnd w:id="0"/>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05FD5E67" w14:textId="77777777" w:rsidTr="001E2E41">
        <w:trPr>
          <w:trHeight w:val="378"/>
        </w:trPr>
        <w:tc>
          <w:tcPr>
            <w:tcW w:w="1138" w:type="dxa"/>
            <w:tcBorders>
              <w:bottom w:val="single" w:sz="4" w:space="0" w:color="auto"/>
            </w:tcBorders>
          </w:tcPr>
          <w:p w14:paraId="37D2CFAD" w14:textId="77777777" w:rsidR="001E2E41" w:rsidRDefault="001E2E41" w:rsidP="0004385A">
            <w:pPr>
              <w:spacing w:before="0" w:after="0"/>
              <w:rPr>
                <w:rFonts w:ascii="Consolas" w:hAnsi="Consolas"/>
              </w:rPr>
            </w:pPr>
            <w:r>
              <w:rPr>
                <w:rFonts w:ascii="Consolas" w:hAnsi="Consolas"/>
              </w:rPr>
              <w:t>105</w:t>
            </w:r>
          </w:p>
          <w:p w14:paraId="2D75E2E9" w14:textId="77777777" w:rsidR="001E2E41" w:rsidRDefault="001E2E41" w:rsidP="0004385A">
            <w:pPr>
              <w:spacing w:before="0" w:after="0"/>
              <w:rPr>
                <w:rFonts w:ascii="Consolas" w:hAnsi="Consolas"/>
              </w:rPr>
            </w:pPr>
            <w:r>
              <w:rPr>
                <w:rFonts w:ascii="Consolas" w:hAnsi="Consolas"/>
              </w:rPr>
              <w:t>Business</w:t>
            </w:r>
          </w:p>
          <w:p w14:paraId="1E8ECDED" w14:textId="77777777" w:rsidR="001E2E41" w:rsidRPr="00875B05" w:rsidRDefault="001E2E41" w:rsidP="0004385A">
            <w:pPr>
              <w:spacing w:before="0" w:after="0"/>
              <w:rPr>
                <w:rFonts w:ascii="Consolas" w:hAnsi="Consolas"/>
              </w:rPr>
            </w:pPr>
            <w:r>
              <w:rPr>
                <w:rFonts w:ascii="Consolas" w:hAnsi="Consolas"/>
              </w:rPr>
              <w:t>Monday</w:t>
            </w:r>
          </w:p>
        </w:tc>
        <w:tc>
          <w:tcPr>
            <w:tcW w:w="2711" w:type="dxa"/>
            <w:tcBorders>
              <w:bottom w:val="single" w:sz="4" w:space="0" w:color="auto"/>
            </w:tcBorders>
          </w:tcPr>
          <w:p w14:paraId="677EC94C" w14:textId="77777777" w:rsidR="001E2E41" w:rsidRPr="00875B05" w:rsidRDefault="001E2E41" w:rsidP="0004385A">
            <w:pPr>
              <w:spacing w:before="0" w:after="0"/>
              <w:rPr>
                <w:rFonts w:ascii="Consolas" w:hAnsi="Consolas"/>
              </w:rPr>
            </w:pPr>
            <w:r w:rsidRPr="00631DEC">
              <w:rPr>
                <w:rFonts w:ascii="Consolas" w:hAnsi="Consolas"/>
              </w:rPr>
              <w:t>Total price: 1121.00</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7777777" w:rsidR="001E2E41" w:rsidRPr="00875B05" w:rsidRDefault="001E2E41" w:rsidP="0004385A">
            <w:pPr>
              <w:spacing w:before="0" w:after="0"/>
              <w:rPr>
                <w:rFonts w:ascii="Consolas" w:hAnsi="Consolas"/>
              </w:rPr>
            </w:pPr>
            <w:r w:rsidRPr="00631DEC">
              <w:rPr>
                <w:rFonts w:ascii="Consolas" w:hAnsi="Consolas"/>
              </w:rPr>
              <w:t>Total price: 728.00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lastRenderedPageBreak/>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129E970A" w:rsidR="00C019A4"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691505F0" w14:textId="67697ED9" w:rsidR="006011D7" w:rsidRDefault="006011D7" w:rsidP="007C5CC0">
      <w:pPr>
        <w:pStyle w:val="Heading4"/>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lastRenderedPageBreak/>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lastRenderedPageBreak/>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lastRenderedPageBreak/>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lastRenderedPageBreak/>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lastRenderedPageBreak/>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8"/>
      <w:footerReference w:type="default" r:id="rId9"/>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8EFBD" w14:textId="77777777" w:rsidR="005725B3" w:rsidRDefault="005725B3" w:rsidP="008068A2">
      <w:pPr>
        <w:spacing w:after="0" w:line="240" w:lineRule="auto"/>
      </w:pPr>
      <w:r>
        <w:separator/>
      </w:r>
    </w:p>
  </w:endnote>
  <w:endnote w:type="continuationSeparator" w:id="0">
    <w:p w14:paraId="709BE783" w14:textId="77777777" w:rsidR="005725B3" w:rsidRDefault="005725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rPr>
        <w:lang w:val="bg-BG" w:eastAsia="bg-BG"/>
      </w:rP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lang w:val="bg-BG" w:eastAsia="bg-BG"/>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lang w:val="bg-BG" w:eastAsia="bg-BG"/>
      </w:rP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6CFB9FF9"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D5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D54">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6CFB9FF9"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D54">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D5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45DB2" w14:textId="77777777" w:rsidR="005725B3" w:rsidRDefault="005725B3" w:rsidP="008068A2">
      <w:pPr>
        <w:spacing w:after="0" w:line="240" w:lineRule="auto"/>
      </w:pPr>
      <w:r>
        <w:separator/>
      </w:r>
    </w:p>
  </w:footnote>
  <w:footnote w:type="continuationSeparator" w:id="0">
    <w:p w14:paraId="4108D643" w14:textId="77777777" w:rsidR="005725B3" w:rsidRDefault="005725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51EB3"/>
    <w:rsid w:val="00553CCB"/>
    <w:rsid w:val="00563DC7"/>
    <w:rsid w:val="00564029"/>
    <w:rsid w:val="00564D7B"/>
    <w:rsid w:val="0056527D"/>
    <w:rsid w:val="0056786B"/>
    <w:rsid w:val="00570016"/>
    <w:rsid w:val="0057138C"/>
    <w:rsid w:val="005725B3"/>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30EAA"/>
    <w:rsid w:val="00836CA4"/>
    <w:rsid w:val="0085184F"/>
    <w:rsid w:val="00861625"/>
    <w:rsid w:val="008617B5"/>
    <w:rsid w:val="00862EF6"/>
    <w:rsid w:val="008643FB"/>
    <w:rsid w:val="00870828"/>
    <w:rsid w:val="0088080B"/>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3ACC-C660-41CF-A145-A5888B53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62</cp:revision>
  <cp:lastPrinted>2015-10-26T22:35:00Z</cp:lastPrinted>
  <dcterms:created xsi:type="dcterms:W3CDTF">2018-07-26T14:08:00Z</dcterms:created>
  <dcterms:modified xsi:type="dcterms:W3CDTF">2018-09-22T13:09:00Z</dcterms:modified>
  <cp:category>programming, education, software engineering, software development</cp:category>
</cp:coreProperties>
</file>