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17BACBE4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  <w:r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15E9C96A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B08DEA" w14:textId="6BF9D85E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3209" w:type="dxa"/>
          </w:tcPr>
          <w:p w14:paraId="29412FFD" w14:textId="6AEE71E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4DAB8A1" w14:textId="54803B2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settimana</w:t>
            </w:r>
          </w:p>
        </w:tc>
      </w:tr>
      <w:tr w:rsidR="005512E2" w:rsidRPr="005A2E81" w14:paraId="5794B470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per settimana</w:t>
            </w:r>
          </w:p>
        </w:tc>
      </w:tr>
      <w:tr w:rsidR="005512E2" w:rsidRPr="005A2E81" w14:paraId="0039EA3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07909A" w14:textId="38A24D23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Parte di</w:t>
            </w:r>
          </w:p>
        </w:tc>
        <w:tc>
          <w:tcPr>
            <w:tcW w:w="3209" w:type="dxa"/>
          </w:tcPr>
          <w:p w14:paraId="6443389D" w14:textId="45760ABC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01DFC29E" w14:textId="7B2B2FED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per settimana</w:t>
            </w:r>
          </w:p>
        </w:tc>
      </w:tr>
    </w:tbl>
    <w:p w14:paraId="2B98B453" w14:textId="1E54F833" w:rsidR="005A2E81" w:rsidRDefault="005A2E81">
      <w:pPr>
        <w:rPr>
          <w:b/>
          <w:bCs/>
          <w:color w:val="B4C6E7" w:themeColor="accent1" w:themeTint="66"/>
        </w:rPr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602" w:rsidRPr="003E5602" w14:paraId="1B8D4690" w14:textId="77777777" w:rsidTr="003E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08AAF987" w14:textId="0DA06E27" w:rsidR="003E5602" w:rsidRPr="003E5602" w:rsidRDefault="003E560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 w:rsidR="00345D12"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 w:rsidR="00345D12">
              <w:rPr>
                <w:b/>
                <w:bCs/>
              </w:rPr>
              <w:t>e</w:t>
            </w:r>
          </w:p>
        </w:tc>
        <w:tc>
          <w:tcPr>
            <w:tcW w:w="3209" w:type="dxa"/>
          </w:tcPr>
          <w:p w14:paraId="22335BCE" w14:textId="6781D002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2755A450" w14:textId="646C5105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</w:t>
            </w:r>
            <w:r w:rsidR="00345D12">
              <w:rPr>
                <w:b/>
                <w:bCs/>
              </w:rPr>
              <w:t>za</w:t>
            </w:r>
          </w:p>
        </w:tc>
      </w:tr>
      <w:tr w:rsidR="003E5602" w:rsidRPr="003E5602" w14:paraId="6E738052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D8D051" w14:textId="4EE628FD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3209" w:type="dxa"/>
          </w:tcPr>
          <w:p w14:paraId="39BC6A46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C45D7C6" w14:textId="78C17A21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</w:tr>
      <w:tr w:rsidR="003E5602" w:rsidRPr="003E5602" w14:paraId="7DC3F5A4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0ECF3C" w14:textId="233E24E2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3209" w:type="dxa"/>
          </w:tcPr>
          <w:p w14:paraId="33311DF8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577F84" w14:textId="7852393C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</w:tr>
      <w:tr w:rsidR="003E5602" w:rsidRPr="003E5602" w14:paraId="6B6CE41B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B39D2C" w14:textId="6C2073BB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3209" w:type="dxa"/>
          </w:tcPr>
          <w:p w14:paraId="42A17FEB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B53988" w14:textId="2728DBDD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3E5602" w:rsidRPr="003E5602" w14:paraId="0685815C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7C782" w14:textId="3EB43F5E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3209" w:type="dxa"/>
          </w:tcPr>
          <w:p w14:paraId="4D2DAF0D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A163FB" w14:textId="63B86C96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</w:tr>
      <w:tr w:rsidR="002E7112" w:rsidRPr="003E5602" w14:paraId="22E7EE2F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F1703" w14:textId="411F54A3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3209" w:type="dxa"/>
          </w:tcPr>
          <w:p w14:paraId="6472AC6C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4D9F60" w14:textId="69FED910" w:rsidR="002E711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</w:tr>
      <w:tr w:rsidR="002E7112" w:rsidRPr="003E5602" w14:paraId="27ACE900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C04C8F" w14:textId="24DCD946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3209" w:type="dxa"/>
          </w:tcPr>
          <w:p w14:paraId="4E45F53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DE4FEB" w14:textId="6077D98C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</w:tr>
      <w:tr w:rsidR="002E7112" w:rsidRPr="003E5602" w14:paraId="7627EB70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37DF1" w14:textId="7976A0BC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oggetti d’arte fanno parte di un’esibizione</w:t>
            </w:r>
          </w:p>
        </w:tc>
        <w:tc>
          <w:tcPr>
            <w:tcW w:w="3209" w:type="dxa"/>
          </w:tcPr>
          <w:p w14:paraId="7CB3515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643E800" w14:textId="65F29921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</w:tr>
      <w:tr w:rsidR="002E7112" w:rsidRPr="003E5602" w14:paraId="3EF58A48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8024AA" w14:textId="7046E3B4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3209" w:type="dxa"/>
          </w:tcPr>
          <w:p w14:paraId="730B8D0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D2F69AB" w14:textId="09C12FC1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</w:tr>
      <w:tr w:rsidR="002E7112" w:rsidRPr="003E5602" w14:paraId="01EEF6BA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AA882A" w14:textId="632F5ADB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3209" w:type="dxa"/>
          </w:tcPr>
          <w:p w14:paraId="2D368CF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0CA0A04" w14:textId="56FD9D7F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2E7112" w:rsidRPr="003E5602" w14:paraId="3618794F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1117C0" w14:textId="2D77871F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3209" w:type="dxa"/>
          </w:tcPr>
          <w:p w14:paraId="1AC8F9FE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B2B4590" w14:textId="02711DA9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21647C30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Analisi delle ridondanze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</w:t>
      </w:r>
      <w:r w:rsidR="000278A6">
        <w:rPr>
          <w:rFonts w:cstheme="minorHAnsi"/>
          <w:sz w:val="24"/>
          <w:szCs w:val="24"/>
        </w:rPr>
        <w:t>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44094602" w:rsidR="00925B49" w:rsidRP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prima opzione risulta sbagliata poiché opera d’arte è l’unica ad essere in relazione con altre entità. La seconda andrebbero accorpati molti attributi che risulterebbero spesso nulli, e sarebbe richiesto il mantenimento di molti vincoli su di essi. La terza risulta quindi più conveniente perché richiede solo il mantenimento di pochi vincoli e non spreca memoria.</w:t>
      </w:r>
    </w:p>
    <w:p w14:paraId="58403D9E" w14:textId="77777777" w:rsidR="004D7638" w:rsidRPr="004D7638" w:rsidRDefault="004D7638">
      <w:pPr>
        <w:rPr>
          <w:color w:val="B4C6E7" w:themeColor="accent1" w:themeTint="66"/>
        </w:rPr>
      </w:pPr>
    </w:p>
    <w:p w14:paraId="6F29E67D" w14:textId="6883F94E" w:rsidR="0000256E" w:rsidRPr="00BB00FD" w:rsidRDefault="00B4537B">
      <w:pPr>
        <w:rPr>
          <w:color w:val="B4C6E7" w:themeColor="accent1" w:themeTint="66"/>
        </w:rPr>
      </w:pPr>
      <w:r w:rsidRPr="00BB00FD">
        <w:rPr>
          <w:b/>
          <w:bCs/>
          <w:color w:val="B4C6E7" w:themeColor="accent1" w:themeTint="66"/>
        </w:rPr>
        <w:t>Pittura Permanente</w:t>
      </w:r>
      <w:r w:rsidRPr="00BB00FD">
        <w:rPr>
          <w:color w:val="B4C6E7" w:themeColor="accent1" w:themeTint="66"/>
        </w:rPr>
        <w:t xml:space="preserve"> || </w:t>
      </w:r>
      <w:r w:rsidRPr="00BB00FD">
        <w:rPr>
          <w:color w:val="B4C6E7" w:themeColor="accent1" w:themeTint="66"/>
          <w:u w:val="single"/>
        </w:rPr>
        <w:t>Codice</w:t>
      </w:r>
      <w:r w:rsidRPr="00BB00FD">
        <w:rPr>
          <w:color w:val="B4C6E7" w:themeColor="accent1" w:themeTint="66"/>
        </w:rPr>
        <w:t xml:space="preserve"> | nazione di provenienza | titolo | anno di creazione | descrizione | artista | stile | materiale | tipo | data acquisizione | status |costo</w:t>
      </w:r>
    </w:p>
    <w:p w14:paraId="29DA9D31" w14:textId="52935A3C" w:rsidR="00B4537B" w:rsidRPr="00BB00FD" w:rsidRDefault="00B4537B">
      <w:pPr>
        <w:rPr>
          <w:color w:val="B4C6E7" w:themeColor="accent1" w:themeTint="66"/>
        </w:rPr>
      </w:pPr>
      <w:r w:rsidRPr="00BB00FD">
        <w:rPr>
          <w:b/>
          <w:bCs/>
          <w:color w:val="B4C6E7" w:themeColor="accent1" w:themeTint="66"/>
        </w:rPr>
        <w:t>Pittura Prestito</w:t>
      </w:r>
      <w:r w:rsidRPr="00BB00FD">
        <w:rPr>
          <w:color w:val="B4C6E7" w:themeColor="accent1" w:themeTint="66"/>
        </w:rPr>
        <w:t xml:space="preserve"> || </w:t>
      </w:r>
      <w:r w:rsidRPr="00BB00FD">
        <w:rPr>
          <w:color w:val="B4C6E7" w:themeColor="accent1" w:themeTint="66"/>
          <w:u w:val="single"/>
        </w:rPr>
        <w:t>Codice</w:t>
      </w:r>
      <w:r w:rsidRPr="00BB00FD">
        <w:rPr>
          <w:color w:val="B4C6E7" w:themeColor="accent1" w:themeTint="66"/>
        </w:rPr>
        <w:t xml:space="preserve"> | nazione di provenienza | titolo | anno di creazione | descrizione | artista | stile | materiale | tipo | inizio | fine | </w:t>
      </w:r>
      <w:r w:rsidR="00BB00FD" w:rsidRPr="00BB00FD">
        <w:rPr>
          <w:color w:val="B4C6E7" w:themeColor="accent1" w:themeTint="66"/>
        </w:rPr>
        <w:t>collezione di provenienza</w:t>
      </w:r>
    </w:p>
    <w:p w14:paraId="75AEDD8C" w14:textId="77777777" w:rsidR="00BB00FD" w:rsidRDefault="00BB00FD">
      <w:pPr>
        <w:rPr>
          <w:b/>
          <w:bCs/>
        </w:rPr>
      </w:pPr>
    </w:p>
    <w:p w14:paraId="628B7DAA" w14:textId="77777777" w:rsidR="00BB00FD" w:rsidRDefault="00BB00FD">
      <w:pPr>
        <w:rPr>
          <w:b/>
          <w:bCs/>
        </w:rPr>
      </w:pPr>
    </w:p>
    <w:p w14:paraId="47639D6A" w14:textId="77777777" w:rsidR="00BB00FD" w:rsidRDefault="00BB00FD">
      <w:pPr>
        <w:rPr>
          <w:b/>
          <w:bCs/>
        </w:rPr>
      </w:pPr>
    </w:p>
    <w:p w14:paraId="512AF27B" w14:textId="42C867F0" w:rsidR="00B4537B" w:rsidRDefault="00B4537B">
      <w:r>
        <w:rPr>
          <w:b/>
          <w:bCs/>
        </w:rPr>
        <w:t xml:space="preserve">Opera </w:t>
      </w:r>
      <w:r w:rsidR="00492E12">
        <w:rPr>
          <w:b/>
          <w:bCs/>
        </w:rPr>
        <w:t>d</w:t>
      </w:r>
      <w:r>
        <w:rPr>
          <w:b/>
          <w:bCs/>
        </w:rPr>
        <w:t>’</w:t>
      </w:r>
      <w:r w:rsidR="00492E12">
        <w:rPr>
          <w:b/>
          <w:bCs/>
        </w:rPr>
        <w:t>A</w:t>
      </w:r>
      <w:r>
        <w:rPr>
          <w:b/>
          <w:bCs/>
        </w:rPr>
        <w:t>rte</w:t>
      </w:r>
      <w:r>
        <w:t xml:space="preserve"> || </w:t>
      </w:r>
      <w:r>
        <w:rPr>
          <w:u w:val="single"/>
        </w:rPr>
        <w:t>Codice</w:t>
      </w:r>
      <w:r w:rsidRPr="00B4537B">
        <w:t xml:space="preserve"> | </w:t>
      </w:r>
      <w:r>
        <w:t xml:space="preserve">nazione di provenienza | titolo | anno di creazione | descrizione | </w:t>
      </w:r>
      <w:r w:rsidR="00492E12">
        <w:rPr>
          <w:i/>
          <w:iCs/>
        </w:rPr>
        <w:t>Nome A</w:t>
      </w:r>
      <w:r w:rsidRPr="00492E12">
        <w:rPr>
          <w:i/>
          <w:iCs/>
        </w:rPr>
        <w:t>rtista</w:t>
      </w:r>
      <w:r>
        <w:t xml:space="preserve"> |</w:t>
      </w:r>
      <w:r w:rsidR="004F6785">
        <w:t xml:space="preserve"> stile |</w:t>
      </w:r>
      <w:r>
        <w:t xml:space="preserve"> permanenza | tipo</w:t>
      </w:r>
    </w:p>
    <w:p w14:paraId="3B98D3F5" w14:textId="72F588B5" w:rsidR="000E4135" w:rsidRDefault="000E4135">
      <w:pPr>
        <w:rPr>
          <w:b/>
          <w:bCs/>
        </w:rPr>
      </w:pPr>
    </w:p>
    <w:p w14:paraId="62591664" w14:textId="45D22AE4" w:rsidR="000E4135" w:rsidRDefault="00492E12">
      <w:r>
        <w:rPr>
          <w:b/>
          <w:bCs/>
        </w:rPr>
        <w:t>Pittura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materiale | tipo</w:t>
      </w:r>
    </w:p>
    <w:p w14:paraId="73C8FB3D" w14:textId="742B8D21" w:rsidR="00492E12" w:rsidRDefault="00492E12">
      <w:r>
        <w:rPr>
          <w:b/>
          <w:bCs/>
        </w:rPr>
        <w:t>Scultura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materiale | altezza | lunghezza | statua</w:t>
      </w:r>
    </w:p>
    <w:p w14:paraId="18D47801" w14:textId="1D4827CC" w:rsidR="00BB00FD" w:rsidRDefault="00BB00FD">
      <w:r>
        <w:rPr>
          <w:b/>
          <w:bCs/>
        </w:rPr>
        <w:t>Oggetto d’Antiquariato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epoca </w:t>
      </w:r>
    </w:p>
    <w:p w14:paraId="6CB66F81" w14:textId="3A773D1E" w:rsidR="00BB00FD" w:rsidRPr="004F6785" w:rsidRDefault="00BB00FD">
      <w:pPr>
        <w:rPr>
          <w:color w:val="B4C6E7" w:themeColor="accent1" w:themeTint="66"/>
        </w:rPr>
      </w:pPr>
      <w:r w:rsidRPr="004F6785">
        <w:rPr>
          <w:b/>
          <w:bCs/>
          <w:color w:val="B4C6E7" w:themeColor="accent1" w:themeTint="66"/>
        </w:rPr>
        <w:t>Altro</w:t>
      </w:r>
      <w:r w:rsidRPr="004F6785">
        <w:rPr>
          <w:color w:val="B4C6E7" w:themeColor="accent1" w:themeTint="66"/>
        </w:rPr>
        <w:t xml:space="preserve"> | </w:t>
      </w:r>
      <w:r w:rsidRPr="004F6785">
        <w:rPr>
          <w:i/>
          <w:iCs/>
          <w:color w:val="B4C6E7" w:themeColor="accent1" w:themeTint="66"/>
          <w:u w:val="single"/>
        </w:rPr>
        <w:t>Codice Opera d’Arte</w:t>
      </w:r>
      <w:r w:rsidRPr="004F6785">
        <w:rPr>
          <w:color w:val="B4C6E7" w:themeColor="accent1" w:themeTint="66"/>
        </w:rPr>
        <w:t xml:space="preserve"> | tipo | stile</w:t>
      </w:r>
    </w:p>
    <w:p w14:paraId="0B706F29" w14:textId="73652167" w:rsidR="00BB00FD" w:rsidRDefault="00BB00FD"/>
    <w:p w14:paraId="3D708E94" w14:textId="7E553CC5" w:rsidR="00BB00FD" w:rsidRDefault="00BB00FD" w:rsidP="00BB00FD">
      <w:r>
        <w:rPr>
          <w:b/>
          <w:bCs/>
        </w:rPr>
        <w:t>Permanente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data acquisizione | status | costo</w:t>
      </w:r>
    </w:p>
    <w:p w14:paraId="48A89EFB" w14:textId="33A5E52A" w:rsidR="00492E12" w:rsidRDefault="00BB00FD">
      <w:r>
        <w:rPr>
          <w:b/>
          <w:bCs/>
        </w:rPr>
        <w:t>Prestito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| inizio | fine | collezione di provenienza</w:t>
      </w:r>
    </w:p>
    <w:p w14:paraId="0C4D749B" w14:textId="27093A78" w:rsidR="00BB00FD" w:rsidRDefault="00BB00FD">
      <w:pPr>
        <w:rPr>
          <w:b/>
          <w:bCs/>
        </w:rPr>
      </w:pPr>
    </w:p>
    <w:p w14:paraId="2814CC76" w14:textId="77777777" w:rsidR="00BB00FD" w:rsidRDefault="00BB00FD">
      <w:pPr>
        <w:rPr>
          <w:b/>
          <w:bCs/>
        </w:rPr>
      </w:pPr>
    </w:p>
    <w:p w14:paraId="216F5DC8" w14:textId="71083152" w:rsidR="000E4135" w:rsidRDefault="000E4135">
      <w:r w:rsidRPr="000E4135">
        <w:rPr>
          <w:b/>
          <w:bCs/>
        </w:rPr>
        <w:t>Artista</w:t>
      </w:r>
      <w:r>
        <w:rPr>
          <w:b/>
          <w:bCs/>
        </w:rPr>
        <w:t xml:space="preserve"> </w:t>
      </w:r>
      <w:r>
        <w:t xml:space="preserve">|| </w:t>
      </w:r>
      <w:r w:rsidRPr="000E4135">
        <w:rPr>
          <w:u w:val="single"/>
        </w:rPr>
        <w:t>Nome</w:t>
      </w:r>
      <w:r>
        <w:t xml:space="preserve"> | data di nascita | data di morte | nazione d’origine | epoca | stile principale | breve profilo</w:t>
      </w:r>
    </w:p>
    <w:p w14:paraId="7AEB244D" w14:textId="29DCA632" w:rsidR="000E4135" w:rsidRPr="000E4135" w:rsidRDefault="000E4135"/>
    <w:p w14:paraId="10E08856" w14:textId="2375F54A" w:rsidR="000E4135" w:rsidRDefault="000E4135">
      <w:r w:rsidRPr="000E4135">
        <w:rPr>
          <w:b/>
          <w:bCs/>
        </w:rPr>
        <w:t xml:space="preserve">Esibizione </w:t>
      </w:r>
      <w:r w:rsidRPr="000E4135">
        <w:t xml:space="preserve">|| </w:t>
      </w:r>
      <w:r w:rsidRPr="000E4135">
        <w:rPr>
          <w:u w:val="single"/>
        </w:rPr>
        <w:t>Nome</w:t>
      </w:r>
      <w:r>
        <w:t xml:space="preserve"> </w:t>
      </w:r>
      <w:r w:rsidRPr="000E4135">
        <w:t xml:space="preserve">| </w:t>
      </w:r>
      <w:r>
        <w:t>data inizio | data fine</w:t>
      </w:r>
      <w:r w:rsidR="00E86796">
        <w:t xml:space="preserve"> | numero di opere esposte</w:t>
      </w:r>
    </w:p>
    <w:p w14:paraId="1DB3815C" w14:textId="77777777" w:rsidR="00BB00FD" w:rsidRDefault="00BB00FD"/>
    <w:p w14:paraId="212C8A4B" w14:textId="40F48D8E" w:rsidR="000E4135" w:rsidRDefault="000E4135">
      <w:pPr>
        <w:pBdr>
          <w:bottom w:val="single" w:sz="12" w:space="1" w:color="auto"/>
        </w:pBdr>
      </w:pPr>
      <w:r>
        <w:rPr>
          <w:b/>
          <w:bCs/>
        </w:rPr>
        <w:t>Esposta</w:t>
      </w:r>
      <w:r>
        <w:t xml:space="preserve"> || </w:t>
      </w:r>
      <w:r>
        <w:rPr>
          <w:i/>
          <w:iCs/>
          <w:u w:val="single"/>
        </w:rPr>
        <w:t>Nome Esibizione</w:t>
      </w:r>
      <w:r>
        <w:t xml:space="preserve"> | </w:t>
      </w:r>
      <w:r>
        <w:rPr>
          <w:i/>
          <w:iCs/>
          <w:u w:val="single"/>
        </w:rPr>
        <w:t>Codice Opera d’arte</w:t>
      </w:r>
      <w:r>
        <w:t xml:space="preserve"> </w:t>
      </w:r>
    </w:p>
    <w:p w14:paraId="41E5F568" w14:textId="258D9445" w:rsidR="00BB00FD" w:rsidRDefault="00BB00FD">
      <w:r>
        <w:t>Vincoli:</w:t>
      </w:r>
    </w:p>
    <w:p w14:paraId="4F638C4A" w14:textId="505A28ED" w:rsidR="00BB00FD" w:rsidRDefault="00BB00FD" w:rsidP="00BB00FD">
      <w:pPr>
        <w:ind w:left="709"/>
      </w:pPr>
    </w:p>
    <w:p w14:paraId="437DDDAE" w14:textId="152C3230" w:rsidR="00BB00FD" w:rsidRDefault="00BB00FD" w:rsidP="00BB00FD">
      <w:pPr>
        <w:ind w:left="709"/>
      </w:pPr>
      <w:r>
        <w:t xml:space="preserve">L’attributo permanenza deve corrispondere a una </w:t>
      </w:r>
      <w:proofErr w:type="spellStart"/>
      <w:r>
        <w:t>tupla</w:t>
      </w:r>
      <w:proofErr w:type="spellEnd"/>
      <w:r>
        <w:t xml:space="preserve"> nella tabella corrispondente (Permanente / Prestito)</w:t>
      </w:r>
      <w:r w:rsidR="004F6785">
        <w:t xml:space="preserve"> e viceversa</w:t>
      </w:r>
    </w:p>
    <w:p w14:paraId="3448DED7" w14:textId="77777777" w:rsidR="00BB00FD" w:rsidRPr="000E4135" w:rsidRDefault="00BB00FD" w:rsidP="00BB00FD">
      <w:pPr>
        <w:ind w:left="709"/>
      </w:pPr>
    </w:p>
    <w:sectPr w:rsidR="00BB00FD" w:rsidRPr="000E41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8399E"/>
    <w:rsid w:val="000E4135"/>
    <w:rsid w:val="0010232A"/>
    <w:rsid w:val="002E7112"/>
    <w:rsid w:val="00345D12"/>
    <w:rsid w:val="003E5602"/>
    <w:rsid w:val="003F2A9C"/>
    <w:rsid w:val="00492E12"/>
    <w:rsid w:val="00495AE6"/>
    <w:rsid w:val="004D7638"/>
    <w:rsid w:val="004F6785"/>
    <w:rsid w:val="005512E2"/>
    <w:rsid w:val="005A2E81"/>
    <w:rsid w:val="005A4BEA"/>
    <w:rsid w:val="00760769"/>
    <w:rsid w:val="007A1123"/>
    <w:rsid w:val="007B7B95"/>
    <w:rsid w:val="00925B49"/>
    <w:rsid w:val="00B4537B"/>
    <w:rsid w:val="00BB00FD"/>
    <w:rsid w:val="00C16A44"/>
    <w:rsid w:val="00C27490"/>
    <w:rsid w:val="00C73AA7"/>
    <w:rsid w:val="00CC255D"/>
    <w:rsid w:val="00E86796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7</cp:revision>
  <dcterms:created xsi:type="dcterms:W3CDTF">2020-11-25T10:23:00Z</dcterms:created>
  <dcterms:modified xsi:type="dcterms:W3CDTF">2021-05-12T14:49:00Z</dcterms:modified>
</cp:coreProperties>
</file>