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411E7" w14:textId="77777777" w:rsidR="00D9390D" w:rsidRDefault="00D9390D" w:rsidP="00D9390D">
      <w:pPr>
        <w:pStyle w:val="BodyText"/>
        <w:jc w:val="center"/>
      </w:pPr>
      <w:r>
        <w:rPr>
          <w:b/>
        </w:rPr>
        <w:t>Таблица 1. Оценка качества информационной системы</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2219"/>
        <w:gridCol w:w="2349"/>
        <w:gridCol w:w="3381"/>
        <w:gridCol w:w="1399"/>
      </w:tblGrid>
      <w:tr w:rsidR="00D9390D" w14:paraId="2C26042C" w14:textId="77777777" w:rsidTr="001B4993">
        <w:tc>
          <w:tcPr>
            <w:tcW w:w="2219" w:type="dxa"/>
            <w:shd w:val="clear" w:color="auto" w:fill="auto"/>
            <w:vAlign w:val="center"/>
          </w:tcPr>
          <w:p w14:paraId="73AFAA13" w14:textId="77777777" w:rsidR="00D9390D" w:rsidRDefault="00D9390D" w:rsidP="001B4993">
            <w:pPr>
              <w:pStyle w:val="a"/>
              <w:spacing w:after="283"/>
              <w:jc w:val="center"/>
            </w:pPr>
            <w:r>
              <w:t>Характеристика</w:t>
            </w:r>
          </w:p>
        </w:tc>
        <w:tc>
          <w:tcPr>
            <w:tcW w:w="2349" w:type="dxa"/>
            <w:shd w:val="clear" w:color="auto" w:fill="auto"/>
            <w:vAlign w:val="center"/>
          </w:tcPr>
          <w:p w14:paraId="351C8EF8" w14:textId="77777777" w:rsidR="00D9390D" w:rsidRDefault="00D9390D" w:rsidP="001B4993">
            <w:pPr>
              <w:pStyle w:val="a"/>
              <w:spacing w:after="283"/>
              <w:jc w:val="center"/>
            </w:pPr>
            <w:r>
              <w:t>Промежуточная характеристика</w:t>
            </w:r>
          </w:p>
        </w:tc>
        <w:tc>
          <w:tcPr>
            <w:tcW w:w="3381" w:type="dxa"/>
            <w:shd w:val="clear" w:color="auto" w:fill="auto"/>
            <w:vAlign w:val="center"/>
          </w:tcPr>
          <w:p w14:paraId="23A58182" w14:textId="77777777" w:rsidR="00D9390D" w:rsidRDefault="00D9390D" w:rsidP="001B4993">
            <w:pPr>
              <w:pStyle w:val="a"/>
              <w:spacing w:after="283"/>
              <w:jc w:val="center"/>
            </w:pPr>
            <w:r>
              <w:t>Детальная характеристика</w:t>
            </w:r>
          </w:p>
        </w:tc>
        <w:tc>
          <w:tcPr>
            <w:tcW w:w="1399" w:type="dxa"/>
            <w:shd w:val="clear" w:color="auto" w:fill="auto"/>
            <w:vAlign w:val="center"/>
          </w:tcPr>
          <w:p w14:paraId="1F6621A9" w14:textId="77777777" w:rsidR="00D9390D" w:rsidRDefault="00D9390D" w:rsidP="001B4993">
            <w:pPr>
              <w:pStyle w:val="a"/>
              <w:spacing w:after="283"/>
              <w:jc w:val="center"/>
            </w:pPr>
            <w:r>
              <w:t>Наличие (1) Отсутствие (0)</w:t>
            </w:r>
          </w:p>
        </w:tc>
      </w:tr>
      <w:tr w:rsidR="00D9390D" w14:paraId="09905A15" w14:textId="77777777" w:rsidTr="001B4993">
        <w:tc>
          <w:tcPr>
            <w:tcW w:w="2219" w:type="dxa"/>
            <w:vMerge w:val="restart"/>
            <w:shd w:val="clear" w:color="auto" w:fill="auto"/>
            <w:vAlign w:val="center"/>
          </w:tcPr>
          <w:p w14:paraId="497AD32A" w14:textId="77777777" w:rsidR="00D9390D" w:rsidRDefault="00D9390D" w:rsidP="001B4993">
            <w:pPr>
              <w:pStyle w:val="a"/>
              <w:spacing w:after="283"/>
              <w:jc w:val="center"/>
            </w:pPr>
            <w:r>
              <w:t>1. Функциональные возможности</w:t>
            </w:r>
          </w:p>
        </w:tc>
        <w:tc>
          <w:tcPr>
            <w:tcW w:w="2349" w:type="dxa"/>
            <w:vMerge w:val="restart"/>
            <w:shd w:val="clear" w:color="auto" w:fill="auto"/>
            <w:vAlign w:val="center"/>
          </w:tcPr>
          <w:p w14:paraId="0803E188" w14:textId="77777777" w:rsidR="00D9390D" w:rsidRDefault="00D9390D" w:rsidP="001B4993">
            <w:pPr>
              <w:pStyle w:val="a"/>
              <w:spacing w:after="283"/>
              <w:jc w:val="center"/>
            </w:pPr>
            <w:r>
              <w:t>1.1. Функциональная пригодность</w:t>
            </w:r>
          </w:p>
        </w:tc>
        <w:tc>
          <w:tcPr>
            <w:tcW w:w="3381" w:type="dxa"/>
            <w:shd w:val="clear" w:color="auto" w:fill="auto"/>
            <w:vAlign w:val="center"/>
          </w:tcPr>
          <w:p w14:paraId="17EFC7C5" w14:textId="77777777" w:rsidR="00D9390D" w:rsidRDefault="00D9390D" w:rsidP="001B4993">
            <w:pPr>
              <w:pStyle w:val="a"/>
              <w:spacing w:after="283"/>
              <w:jc w:val="center"/>
            </w:pPr>
            <w:r>
              <w:t>1.1.1-соответствие программных средств целям их применения</w:t>
            </w:r>
          </w:p>
        </w:tc>
        <w:tc>
          <w:tcPr>
            <w:tcW w:w="1399" w:type="dxa"/>
            <w:shd w:val="clear" w:color="auto" w:fill="auto"/>
            <w:vAlign w:val="center"/>
          </w:tcPr>
          <w:p w14:paraId="64CF8E3B" w14:textId="77777777" w:rsidR="00D9390D" w:rsidRDefault="00D9390D" w:rsidP="001B4993">
            <w:pPr>
              <w:pStyle w:val="a"/>
              <w:spacing w:after="283"/>
              <w:jc w:val="center"/>
            </w:pPr>
            <w:r>
              <w:t>1</w:t>
            </w:r>
          </w:p>
        </w:tc>
      </w:tr>
      <w:tr w:rsidR="00D9390D" w14:paraId="638F0EA4" w14:textId="77777777" w:rsidTr="001B4993">
        <w:tc>
          <w:tcPr>
            <w:tcW w:w="2219" w:type="dxa"/>
            <w:vMerge/>
            <w:shd w:val="clear" w:color="auto" w:fill="auto"/>
            <w:vAlign w:val="center"/>
          </w:tcPr>
          <w:p w14:paraId="01DC99A5" w14:textId="77777777" w:rsidR="00D9390D" w:rsidRDefault="00D9390D" w:rsidP="001B4993">
            <w:pPr>
              <w:pStyle w:val="a"/>
              <w:snapToGrid w:val="0"/>
              <w:rPr>
                <w:sz w:val="4"/>
                <w:szCs w:val="4"/>
              </w:rPr>
            </w:pPr>
          </w:p>
        </w:tc>
        <w:tc>
          <w:tcPr>
            <w:tcW w:w="2349" w:type="dxa"/>
            <w:vMerge/>
            <w:shd w:val="clear" w:color="auto" w:fill="auto"/>
            <w:vAlign w:val="center"/>
          </w:tcPr>
          <w:p w14:paraId="06FF0365" w14:textId="77777777" w:rsidR="00D9390D" w:rsidRDefault="00D9390D" w:rsidP="001B4993">
            <w:pPr>
              <w:pStyle w:val="a"/>
              <w:snapToGrid w:val="0"/>
              <w:rPr>
                <w:sz w:val="4"/>
                <w:szCs w:val="4"/>
              </w:rPr>
            </w:pPr>
          </w:p>
        </w:tc>
        <w:tc>
          <w:tcPr>
            <w:tcW w:w="3381" w:type="dxa"/>
            <w:shd w:val="clear" w:color="auto" w:fill="auto"/>
            <w:vAlign w:val="center"/>
          </w:tcPr>
          <w:p w14:paraId="0031F2DE" w14:textId="77777777" w:rsidR="00D9390D" w:rsidRDefault="00D9390D" w:rsidP="001B4993">
            <w:pPr>
              <w:pStyle w:val="a"/>
              <w:spacing w:after="283"/>
              <w:jc w:val="center"/>
            </w:pPr>
            <w:r>
              <w:t>1.1.2-соответствие состава и содержания выходной информации требованиям пользователей</w:t>
            </w:r>
          </w:p>
        </w:tc>
        <w:tc>
          <w:tcPr>
            <w:tcW w:w="1399" w:type="dxa"/>
            <w:shd w:val="clear" w:color="auto" w:fill="auto"/>
            <w:vAlign w:val="center"/>
          </w:tcPr>
          <w:p w14:paraId="173EE976" w14:textId="77777777" w:rsidR="00D9390D" w:rsidRDefault="00D9390D" w:rsidP="001B4993">
            <w:pPr>
              <w:pStyle w:val="a"/>
              <w:spacing w:after="283"/>
              <w:jc w:val="center"/>
            </w:pPr>
            <w:r>
              <w:t>1</w:t>
            </w:r>
          </w:p>
        </w:tc>
      </w:tr>
      <w:tr w:rsidR="00D9390D" w14:paraId="0DF30CC4" w14:textId="77777777" w:rsidTr="001B4993">
        <w:tc>
          <w:tcPr>
            <w:tcW w:w="2219" w:type="dxa"/>
            <w:vMerge/>
            <w:shd w:val="clear" w:color="auto" w:fill="auto"/>
            <w:vAlign w:val="center"/>
          </w:tcPr>
          <w:p w14:paraId="0231826E" w14:textId="77777777" w:rsidR="00D9390D" w:rsidRDefault="00D9390D" w:rsidP="001B4993">
            <w:pPr>
              <w:pStyle w:val="a"/>
              <w:snapToGrid w:val="0"/>
              <w:rPr>
                <w:sz w:val="4"/>
                <w:szCs w:val="4"/>
              </w:rPr>
            </w:pPr>
          </w:p>
        </w:tc>
        <w:tc>
          <w:tcPr>
            <w:tcW w:w="2349" w:type="dxa"/>
            <w:vMerge/>
            <w:shd w:val="clear" w:color="auto" w:fill="auto"/>
            <w:vAlign w:val="center"/>
          </w:tcPr>
          <w:p w14:paraId="40655B47" w14:textId="77777777" w:rsidR="00D9390D" w:rsidRDefault="00D9390D" w:rsidP="001B4993">
            <w:pPr>
              <w:pStyle w:val="a"/>
              <w:snapToGrid w:val="0"/>
              <w:rPr>
                <w:sz w:val="4"/>
                <w:szCs w:val="4"/>
              </w:rPr>
            </w:pPr>
          </w:p>
        </w:tc>
        <w:tc>
          <w:tcPr>
            <w:tcW w:w="3381" w:type="dxa"/>
            <w:shd w:val="clear" w:color="auto" w:fill="auto"/>
            <w:vAlign w:val="center"/>
          </w:tcPr>
          <w:p w14:paraId="0B6B77CF" w14:textId="77777777" w:rsidR="00D9390D" w:rsidRDefault="00D9390D" w:rsidP="001B4993">
            <w:pPr>
              <w:pStyle w:val="a"/>
              <w:spacing w:after="283"/>
              <w:jc w:val="center"/>
            </w:pPr>
            <w:r>
              <w:t>1.1.3-соответствие исходной информации, используемой в организации, требованиям ИС</w:t>
            </w:r>
          </w:p>
        </w:tc>
        <w:tc>
          <w:tcPr>
            <w:tcW w:w="1399" w:type="dxa"/>
            <w:shd w:val="clear" w:color="auto" w:fill="auto"/>
            <w:vAlign w:val="center"/>
          </w:tcPr>
          <w:p w14:paraId="34DFEF7B" w14:textId="77777777" w:rsidR="00D9390D" w:rsidRDefault="00D9390D" w:rsidP="001B4993">
            <w:pPr>
              <w:pStyle w:val="a"/>
              <w:spacing w:after="283"/>
              <w:jc w:val="center"/>
            </w:pPr>
            <w:r>
              <w:t>1</w:t>
            </w:r>
          </w:p>
        </w:tc>
      </w:tr>
      <w:tr w:rsidR="00D9390D" w14:paraId="54055BA4" w14:textId="77777777" w:rsidTr="001B4993">
        <w:tc>
          <w:tcPr>
            <w:tcW w:w="2219" w:type="dxa"/>
            <w:vMerge w:val="restart"/>
            <w:shd w:val="clear" w:color="auto" w:fill="auto"/>
            <w:vAlign w:val="center"/>
          </w:tcPr>
          <w:p w14:paraId="403D6ED4" w14:textId="77777777" w:rsidR="00D9390D" w:rsidRDefault="00D9390D" w:rsidP="001B4993">
            <w:pPr>
              <w:pStyle w:val="a"/>
              <w:spacing w:after="283"/>
              <w:jc w:val="center"/>
            </w:pPr>
            <w:r>
              <w:t>2. Надёжность и безопасность</w:t>
            </w:r>
          </w:p>
        </w:tc>
        <w:tc>
          <w:tcPr>
            <w:tcW w:w="2349" w:type="dxa"/>
            <w:vMerge w:val="restart"/>
            <w:shd w:val="clear" w:color="auto" w:fill="auto"/>
            <w:vAlign w:val="center"/>
          </w:tcPr>
          <w:p w14:paraId="0FD19AA1" w14:textId="77777777" w:rsidR="00D9390D" w:rsidRDefault="00D9390D" w:rsidP="001B4993">
            <w:pPr>
              <w:pStyle w:val="a"/>
              <w:spacing w:after="283"/>
              <w:jc w:val="center"/>
            </w:pPr>
            <w:r>
              <w:t>2.1 Защищённость</w:t>
            </w:r>
          </w:p>
        </w:tc>
        <w:tc>
          <w:tcPr>
            <w:tcW w:w="3381" w:type="dxa"/>
            <w:shd w:val="clear" w:color="auto" w:fill="auto"/>
            <w:vAlign w:val="center"/>
          </w:tcPr>
          <w:p w14:paraId="7725BD45" w14:textId="77777777" w:rsidR="00D9390D" w:rsidRDefault="00D9390D" w:rsidP="001B4993">
            <w:pPr>
              <w:pStyle w:val="a"/>
              <w:spacing w:after="283"/>
              <w:jc w:val="center"/>
            </w:pPr>
            <w:r>
              <w:t>2.1.1-соответствие ИС требованиям защиты от предумышленных угроз безопасности</w:t>
            </w:r>
          </w:p>
        </w:tc>
        <w:tc>
          <w:tcPr>
            <w:tcW w:w="1399" w:type="dxa"/>
            <w:shd w:val="clear" w:color="auto" w:fill="auto"/>
            <w:vAlign w:val="center"/>
          </w:tcPr>
          <w:p w14:paraId="7DDAF567" w14:textId="77777777" w:rsidR="00D9390D" w:rsidRDefault="00D9390D" w:rsidP="001B4993">
            <w:pPr>
              <w:pStyle w:val="a"/>
              <w:spacing w:after="283"/>
              <w:jc w:val="center"/>
            </w:pPr>
            <w:r>
              <w:t>0</w:t>
            </w:r>
          </w:p>
        </w:tc>
      </w:tr>
      <w:tr w:rsidR="00D9390D" w14:paraId="4380798D" w14:textId="77777777" w:rsidTr="001B4993">
        <w:tc>
          <w:tcPr>
            <w:tcW w:w="2219" w:type="dxa"/>
            <w:vMerge/>
            <w:shd w:val="clear" w:color="auto" w:fill="auto"/>
            <w:vAlign w:val="center"/>
          </w:tcPr>
          <w:p w14:paraId="6C9979B8" w14:textId="77777777" w:rsidR="00D9390D" w:rsidRDefault="00D9390D" w:rsidP="001B4993">
            <w:pPr>
              <w:pStyle w:val="a"/>
              <w:snapToGrid w:val="0"/>
              <w:rPr>
                <w:sz w:val="4"/>
                <w:szCs w:val="4"/>
              </w:rPr>
            </w:pPr>
          </w:p>
        </w:tc>
        <w:tc>
          <w:tcPr>
            <w:tcW w:w="2349" w:type="dxa"/>
            <w:vMerge/>
            <w:shd w:val="clear" w:color="auto" w:fill="auto"/>
            <w:vAlign w:val="center"/>
          </w:tcPr>
          <w:p w14:paraId="56DF6B33" w14:textId="77777777" w:rsidR="00D9390D" w:rsidRDefault="00D9390D" w:rsidP="001B4993">
            <w:pPr>
              <w:pStyle w:val="a"/>
              <w:snapToGrid w:val="0"/>
              <w:rPr>
                <w:sz w:val="4"/>
                <w:szCs w:val="4"/>
              </w:rPr>
            </w:pPr>
          </w:p>
        </w:tc>
        <w:tc>
          <w:tcPr>
            <w:tcW w:w="3381" w:type="dxa"/>
            <w:shd w:val="clear" w:color="auto" w:fill="auto"/>
            <w:vAlign w:val="center"/>
          </w:tcPr>
          <w:p w14:paraId="542057F8" w14:textId="77777777" w:rsidR="00D9390D" w:rsidRDefault="00D9390D" w:rsidP="001B4993">
            <w:pPr>
              <w:pStyle w:val="a"/>
              <w:spacing w:after="283"/>
              <w:jc w:val="center"/>
            </w:pPr>
            <w:r>
              <w:t>2.1.2-обеспечение эффективности оперативных методов защиты и восстановления при реализации угроз</w:t>
            </w:r>
          </w:p>
        </w:tc>
        <w:tc>
          <w:tcPr>
            <w:tcW w:w="1399" w:type="dxa"/>
            <w:shd w:val="clear" w:color="auto" w:fill="auto"/>
            <w:vAlign w:val="center"/>
          </w:tcPr>
          <w:p w14:paraId="77DBBA21" w14:textId="77777777" w:rsidR="00D9390D" w:rsidRDefault="00D9390D" w:rsidP="001B4993">
            <w:pPr>
              <w:pStyle w:val="a"/>
              <w:spacing w:after="283"/>
              <w:jc w:val="center"/>
            </w:pPr>
            <w:r>
              <w:t>1</w:t>
            </w:r>
          </w:p>
        </w:tc>
      </w:tr>
      <w:tr w:rsidR="00D9390D" w14:paraId="64A00D05" w14:textId="77777777" w:rsidTr="001B4993">
        <w:tc>
          <w:tcPr>
            <w:tcW w:w="2219" w:type="dxa"/>
            <w:vMerge/>
            <w:shd w:val="clear" w:color="auto" w:fill="auto"/>
            <w:vAlign w:val="center"/>
          </w:tcPr>
          <w:p w14:paraId="32C3EFEA" w14:textId="77777777" w:rsidR="00D9390D" w:rsidRDefault="00D9390D" w:rsidP="001B4993">
            <w:pPr>
              <w:pStyle w:val="a"/>
              <w:snapToGrid w:val="0"/>
              <w:rPr>
                <w:sz w:val="4"/>
                <w:szCs w:val="4"/>
              </w:rPr>
            </w:pPr>
          </w:p>
        </w:tc>
        <w:tc>
          <w:tcPr>
            <w:tcW w:w="2349" w:type="dxa"/>
            <w:vMerge w:val="restart"/>
            <w:shd w:val="clear" w:color="auto" w:fill="auto"/>
            <w:vAlign w:val="center"/>
          </w:tcPr>
          <w:p w14:paraId="21D7A7BF" w14:textId="77777777" w:rsidR="00D9390D" w:rsidRDefault="00D9390D" w:rsidP="001B4993">
            <w:pPr>
              <w:pStyle w:val="a"/>
              <w:spacing w:after="283"/>
              <w:jc w:val="center"/>
            </w:pPr>
            <w:r>
              <w:t>2.2. Устойчивость функционирования</w:t>
            </w:r>
          </w:p>
        </w:tc>
        <w:tc>
          <w:tcPr>
            <w:tcW w:w="3381" w:type="dxa"/>
            <w:shd w:val="clear" w:color="auto" w:fill="auto"/>
            <w:vAlign w:val="center"/>
          </w:tcPr>
          <w:p w14:paraId="694B05A7" w14:textId="77777777" w:rsidR="00D9390D" w:rsidRDefault="00D9390D" w:rsidP="001B4993">
            <w:pPr>
              <w:pStyle w:val="a"/>
              <w:spacing w:after="283"/>
              <w:jc w:val="center"/>
            </w:pPr>
            <w:r>
              <w:t>2.2.1-наличие средств восстановления при ошибке на входе</w:t>
            </w:r>
          </w:p>
        </w:tc>
        <w:tc>
          <w:tcPr>
            <w:tcW w:w="1399" w:type="dxa"/>
            <w:shd w:val="clear" w:color="auto" w:fill="auto"/>
            <w:vAlign w:val="center"/>
          </w:tcPr>
          <w:p w14:paraId="7E24CB81" w14:textId="77777777" w:rsidR="00D9390D" w:rsidRDefault="00D9390D" w:rsidP="001B4993">
            <w:pPr>
              <w:pStyle w:val="a"/>
              <w:spacing w:after="283"/>
              <w:jc w:val="center"/>
            </w:pPr>
            <w:r>
              <w:t>0</w:t>
            </w:r>
          </w:p>
        </w:tc>
      </w:tr>
      <w:tr w:rsidR="00D9390D" w14:paraId="79ED4B0E" w14:textId="77777777" w:rsidTr="001B4993">
        <w:tc>
          <w:tcPr>
            <w:tcW w:w="2219" w:type="dxa"/>
            <w:vMerge/>
            <w:shd w:val="clear" w:color="auto" w:fill="auto"/>
            <w:vAlign w:val="center"/>
          </w:tcPr>
          <w:p w14:paraId="6B206E14" w14:textId="77777777" w:rsidR="00D9390D" w:rsidRDefault="00D9390D" w:rsidP="001B4993">
            <w:pPr>
              <w:pStyle w:val="a"/>
              <w:snapToGrid w:val="0"/>
              <w:rPr>
                <w:sz w:val="4"/>
                <w:szCs w:val="4"/>
              </w:rPr>
            </w:pPr>
          </w:p>
        </w:tc>
        <w:tc>
          <w:tcPr>
            <w:tcW w:w="2349" w:type="dxa"/>
            <w:vMerge/>
            <w:shd w:val="clear" w:color="auto" w:fill="auto"/>
            <w:vAlign w:val="center"/>
          </w:tcPr>
          <w:p w14:paraId="562BD95E" w14:textId="77777777" w:rsidR="00D9390D" w:rsidRDefault="00D9390D" w:rsidP="001B4993">
            <w:pPr>
              <w:pStyle w:val="a"/>
              <w:snapToGrid w:val="0"/>
              <w:rPr>
                <w:sz w:val="4"/>
                <w:szCs w:val="4"/>
              </w:rPr>
            </w:pPr>
          </w:p>
        </w:tc>
        <w:tc>
          <w:tcPr>
            <w:tcW w:w="3381" w:type="dxa"/>
            <w:shd w:val="clear" w:color="auto" w:fill="auto"/>
            <w:vAlign w:val="center"/>
          </w:tcPr>
          <w:p w14:paraId="6B3EDEC3" w14:textId="77777777" w:rsidR="00D9390D" w:rsidRDefault="00D9390D" w:rsidP="001B4993">
            <w:pPr>
              <w:pStyle w:val="a"/>
              <w:spacing w:after="283"/>
              <w:jc w:val="center"/>
            </w:pPr>
            <w:r>
              <w:t>2.2.2-наличие средств восстановления при сбоях оборудования</w:t>
            </w:r>
          </w:p>
        </w:tc>
        <w:tc>
          <w:tcPr>
            <w:tcW w:w="1399" w:type="dxa"/>
            <w:shd w:val="clear" w:color="auto" w:fill="auto"/>
            <w:vAlign w:val="center"/>
          </w:tcPr>
          <w:p w14:paraId="65F4C318" w14:textId="77777777" w:rsidR="00D9390D" w:rsidRDefault="00D9390D" w:rsidP="001B4993">
            <w:pPr>
              <w:pStyle w:val="a"/>
              <w:spacing w:after="283"/>
              <w:jc w:val="center"/>
            </w:pPr>
            <w:r>
              <w:t>0</w:t>
            </w:r>
          </w:p>
        </w:tc>
      </w:tr>
      <w:tr w:rsidR="00D9390D" w14:paraId="7CD5ECEC" w14:textId="77777777" w:rsidTr="001B4993">
        <w:tc>
          <w:tcPr>
            <w:tcW w:w="2219" w:type="dxa"/>
            <w:vMerge/>
            <w:shd w:val="clear" w:color="auto" w:fill="auto"/>
            <w:vAlign w:val="center"/>
          </w:tcPr>
          <w:p w14:paraId="1F654209" w14:textId="77777777" w:rsidR="00D9390D" w:rsidRDefault="00D9390D" w:rsidP="001B4993">
            <w:pPr>
              <w:pStyle w:val="a"/>
              <w:snapToGrid w:val="0"/>
              <w:rPr>
                <w:sz w:val="4"/>
                <w:szCs w:val="4"/>
              </w:rPr>
            </w:pPr>
          </w:p>
        </w:tc>
        <w:tc>
          <w:tcPr>
            <w:tcW w:w="2349" w:type="dxa"/>
            <w:vMerge/>
            <w:shd w:val="clear" w:color="auto" w:fill="auto"/>
            <w:vAlign w:val="center"/>
          </w:tcPr>
          <w:p w14:paraId="0AA3271E" w14:textId="77777777" w:rsidR="00D9390D" w:rsidRDefault="00D9390D" w:rsidP="001B4993">
            <w:pPr>
              <w:pStyle w:val="a"/>
              <w:snapToGrid w:val="0"/>
              <w:rPr>
                <w:sz w:val="4"/>
                <w:szCs w:val="4"/>
              </w:rPr>
            </w:pPr>
          </w:p>
        </w:tc>
        <w:tc>
          <w:tcPr>
            <w:tcW w:w="3381" w:type="dxa"/>
            <w:shd w:val="clear" w:color="auto" w:fill="auto"/>
            <w:vAlign w:val="center"/>
          </w:tcPr>
          <w:p w14:paraId="30206731" w14:textId="77777777" w:rsidR="00D9390D" w:rsidRDefault="00D9390D" w:rsidP="001B4993">
            <w:pPr>
              <w:pStyle w:val="a"/>
              <w:spacing w:after="283"/>
              <w:jc w:val="center"/>
            </w:pPr>
            <w:r>
              <w:t xml:space="preserve">2.2.3-вероятность работоспособного </w:t>
            </w:r>
            <w:r>
              <w:lastRenderedPageBreak/>
              <w:t>функционирования в течение месяца</w:t>
            </w:r>
          </w:p>
        </w:tc>
        <w:tc>
          <w:tcPr>
            <w:tcW w:w="1399" w:type="dxa"/>
            <w:shd w:val="clear" w:color="auto" w:fill="auto"/>
            <w:vAlign w:val="center"/>
          </w:tcPr>
          <w:p w14:paraId="66238C9A" w14:textId="77777777" w:rsidR="00D9390D" w:rsidRDefault="00D9390D" w:rsidP="001B4993">
            <w:pPr>
              <w:pStyle w:val="a"/>
              <w:spacing w:after="283"/>
              <w:jc w:val="center"/>
            </w:pPr>
            <w:r>
              <w:lastRenderedPageBreak/>
              <w:t>1</w:t>
            </w:r>
          </w:p>
        </w:tc>
      </w:tr>
      <w:tr w:rsidR="00D9390D" w14:paraId="45BA4369" w14:textId="77777777" w:rsidTr="001B4993">
        <w:tc>
          <w:tcPr>
            <w:tcW w:w="2219" w:type="dxa"/>
            <w:vMerge w:val="restart"/>
            <w:shd w:val="clear" w:color="auto" w:fill="auto"/>
            <w:vAlign w:val="center"/>
          </w:tcPr>
          <w:p w14:paraId="35EF190A" w14:textId="77777777" w:rsidR="00D9390D" w:rsidRDefault="00D9390D" w:rsidP="001B4993">
            <w:pPr>
              <w:pStyle w:val="a"/>
              <w:spacing w:after="283"/>
              <w:jc w:val="center"/>
            </w:pPr>
            <w:r>
              <w:t>3. Практичность и удобство применения</w:t>
            </w:r>
          </w:p>
        </w:tc>
        <w:tc>
          <w:tcPr>
            <w:tcW w:w="2349" w:type="dxa"/>
            <w:vMerge w:val="restart"/>
            <w:shd w:val="clear" w:color="auto" w:fill="auto"/>
            <w:vAlign w:val="center"/>
          </w:tcPr>
          <w:p w14:paraId="30A05F7D" w14:textId="77777777" w:rsidR="00D9390D" w:rsidRDefault="00D9390D" w:rsidP="001B4993">
            <w:pPr>
              <w:pStyle w:val="a"/>
              <w:spacing w:after="283"/>
              <w:jc w:val="center"/>
            </w:pPr>
            <w:r>
              <w:t>3.1. Лёгкость освоения</w:t>
            </w:r>
          </w:p>
        </w:tc>
        <w:tc>
          <w:tcPr>
            <w:tcW w:w="3381" w:type="dxa"/>
            <w:shd w:val="clear" w:color="auto" w:fill="auto"/>
            <w:vAlign w:val="center"/>
          </w:tcPr>
          <w:p w14:paraId="137C037F" w14:textId="77777777" w:rsidR="00D9390D" w:rsidRDefault="00D9390D" w:rsidP="001B4993">
            <w:pPr>
              <w:pStyle w:val="a"/>
              <w:spacing w:after="283"/>
              <w:jc w:val="center"/>
            </w:pPr>
            <w:r>
              <w:t>3.1.1-возможность освоения ИС по документации</w:t>
            </w:r>
          </w:p>
        </w:tc>
        <w:tc>
          <w:tcPr>
            <w:tcW w:w="1399" w:type="dxa"/>
            <w:shd w:val="clear" w:color="auto" w:fill="auto"/>
            <w:vAlign w:val="center"/>
          </w:tcPr>
          <w:p w14:paraId="179EE4BF" w14:textId="77777777" w:rsidR="00D9390D" w:rsidRDefault="00D9390D" w:rsidP="001B4993">
            <w:pPr>
              <w:pStyle w:val="a"/>
              <w:spacing w:after="283"/>
              <w:jc w:val="center"/>
            </w:pPr>
            <w:r>
              <w:t>1</w:t>
            </w:r>
          </w:p>
        </w:tc>
      </w:tr>
      <w:tr w:rsidR="00D9390D" w14:paraId="66A6AEE6" w14:textId="77777777" w:rsidTr="001B4993">
        <w:tc>
          <w:tcPr>
            <w:tcW w:w="2219" w:type="dxa"/>
            <w:vMerge/>
            <w:shd w:val="clear" w:color="auto" w:fill="auto"/>
            <w:vAlign w:val="center"/>
          </w:tcPr>
          <w:p w14:paraId="15B8ECB0" w14:textId="77777777" w:rsidR="00D9390D" w:rsidRDefault="00D9390D" w:rsidP="001B4993">
            <w:pPr>
              <w:pStyle w:val="a"/>
              <w:snapToGrid w:val="0"/>
              <w:rPr>
                <w:sz w:val="4"/>
                <w:szCs w:val="4"/>
              </w:rPr>
            </w:pPr>
          </w:p>
        </w:tc>
        <w:tc>
          <w:tcPr>
            <w:tcW w:w="2349" w:type="dxa"/>
            <w:vMerge/>
            <w:shd w:val="clear" w:color="auto" w:fill="auto"/>
            <w:vAlign w:val="center"/>
          </w:tcPr>
          <w:p w14:paraId="725CD1BC" w14:textId="77777777" w:rsidR="00D9390D" w:rsidRDefault="00D9390D" w:rsidP="001B4993">
            <w:pPr>
              <w:pStyle w:val="a"/>
              <w:snapToGrid w:val="0"/>
              <w:rPr>
                <w:sz w:val="4"/>
                <w:szCs w:val="4"/>
              </w:rPr>
            </w:pPr>
          </w:p>
        </w:tc>
        <w:tc>
          <w:tcPr>
            <w:tcW w:w="3381" w:type="dxa"/>
            <w:shd w:val="clear" w:color="auto" w:fill="auto"/>
            <w:vAlign w:val="center"/>
          </w:tcPr>
          <w:p w14:paraId="6DE7032B" w14:textId="77777777" w:rsidR="00D9390D" w:rsidRDefault="00D9390D" w:rsidP="001B4993">
            <w:pPr>
              <w:pStyle w:val="a"/>
              <w:spacing w:after="283"/>
              <w:jc w:val="center"/>
            </w:pPr>
            <w:r>
              <w:t>3.1.2-возможность освоения ПС на контрольном примере</w:t>
            </w:r>
          </w:p>
        </w:tc>
        <w:tc>
          <w:tcPr>
            <w:tcW w:w="1399" w:type="dxa"/>
            <w:shd w:val="clear" w:color="auto" w:fill="auto"/>
            <w:vAlign w:val="center"/>
          </w:tcPr>
          <w:p w14:paraId="52717BC9" w14:textId="77777777" w:rsidR="00D9390D" w:rsidRDefault="00D9390D" w:rsidP="001B4993">
            <w:pPr>
              <w:pStyle w:val="a"/>
              <w:spacing w:after="283"/>
              <w:jc w:val="center"/>
            </w:pPr>
            <w:r>
              <w:t>1</w:t>
            </w:r>
          </w:p>
        </w:tc>
      </w:tr>
      <w:tr w:rsidR="00D9390D" w14:paraId="52053CB3" w14:textId="77777777" w:rsidTr="001B4993">
        <w:tc>
          <w:tcPr>
            <w:tcW w:w="2219" w:type="dxa"/>
            <w:vMerge/>
            <w:shd w:val="clear" w:color="auto" w:fill="auto"/>
            <w:vAlign w:val="center"/>
          </w:tcPr>
          <w:p w14:paraId="2390A870" w14:textId="77777777" w:rsidR="00D9390D" w:rsidRDefault="00D9390D" w:rsidP="001B4993">
            <w:pPr>
              <w:pStyle w:val="a"/>
              <w:snapToGrid w:val="0"/>
              <w:rPr>
                <w:sz w:val="4"/>
                <w:szCs w:val="4"/>
              </w:rPr>
            </w:pPr>
          </w:p>
        </w:tc>
        <w:tc>
          <w:tcPr>
            <w:tcW w:w="2349" w:type="dxa"/>
            <w:vMerge w:val="restart"/>
            <w:shd w:val="clear" w:color="auto" w:fill="auto"/>
            <w:vAlign w:val="center"/>
          </w:tcPr>
          <w:p w14:paraId="7F9AA654" w14:textId="77777777" w:rsidR="00D9390D" w:rsidRDefault="00D9390D" w:rsidP="001B4993">
            <w:pPr>
              <w:pStyle w:val="a"/>
              <w:spacing w:after="283"/>
              <w:jc w:val="center"/>
            </w:pPr>
            <w:r>
              <w:t>3.2. Доступность эксплуатационных документов</w:t>
            </w:r>
          </w:p>
        </w:tc>
        <w:tc>
          <w:tcPr>
            <w:tcW w:w="3381" w:type="dxa"/>
            <w:shd w:val="clear" w:color="auto" w:fill="auto"/>
            <w:vAlign w:val="center"/>
          </w:tcPr>
          <w:p w14:paraId="6AEBD5F4" w14:textId="77777777" w:rsidR="00D9390D" w:rsidRDefault="00D9390D" w:rsidP="001B4993">
            <w:pPr>
              <w:pStyle w:val="a"/>
              <w:spacing w:after="283"/>
              <w:jc w:val="center"/>
            </w:pPr>
            <w:r>
              <w:t>3.2.1-полнота и понятность документации для освоения</w:t>
            </w:r>
          </w:p>
        </w:tc>
        <w:tc>
          <w:tcPr>
            <w:tcW w:w="1399" w:type="dxa"/>
            <w:shd w:val="clear" w:color="auto" w:fill="auto"/>
            <w:vAlign w:val="center"/>
          </w:tcPr>
          <w:p w14:paraId="747BF224" w14:textId="77777777" w:rsidR="00D9390D" w:rsidRDefault="00D9390D" w:rsidP="001B4993">
            <w:pPr>
              <w:pStyle w:val="a"/>
              <w:spacing w:after="283"/>
              <w:jc w:val="center"/>
            </w:pPr>
            <w:r>
              <w:t>1</w:t>
            </w:r>
          </w:p>
        </w:tc>
      </w:tr>
      <w:tr w:rsidR="00D9390D" w14:paraId="40FF413C" w14:textId="77777777" w:rsidTr="001B4993">
        <w:tc>
          <w:tcPr>
            <w:tcW w:w="2219" w:type="dxa"/>
            <w:vMerge/>
            <w:shd w:val="clear" w:color="auto" w:fill="auto"/>
            <w:vAlign w:val="center"/>
          </w:tcPr>
          <w:p w14:paraId="2DF66EFA" w14:textId="77777777" w:rsidR="00D9390D" w:rsidRDefault="00D9390D" w:rsidP="001B4993">
            <w:pPr>
              <w:pStyle w:val="a"/>
              <w:snapToGrid w:val="0"/>
              <w:rPr>
                <w:sz w:val="4"/>
                <w:szCs w:val="4"/>
              </w:rPr>
            </w:pPr>
          </w:p>
        </w:tc>
        <w:tc>
          <w:tcPr>
            <w:tcW w:w="2349" w:type="dxa"/>
            <w:vMerge/>
            <w:shd w:val="clear" w:color="auto" w:fill="auto"/>
            <w:vAlign w:val="center"/>
          </w:tcPr>
          <w:p w14:paraId="620C3F64" w14:textId="77777777" w:rsidR="00D9390D" w:rsidRDefault="00D9390D" w:rsidP="001B4993">
            <w:pPr>
              <w:pStyle w:val="a"/>
              <w:snapToGrid w:val="0"/>
              <w:rPr>
                <w:sz w:val="4"/>
                <w:szCs w:val="4"/>
              </w:rPr>
            </w:pPr>
          </w:p>
        </w:tc>
        <w:tc>
          <w:tcPr>
            <w:tcW w:w="3381" w:type="dxa"/>
            <w:shd w:val="clear" w:color="auto" w:fill="auto"/>
            <w:vAlign w:val="center"/>
          </w:tcPr>
          <w:p w14:paraId="0AE8BF9D" w14:textId="77777777" w:rsidR="00D9390D" w:rsidRDefault="00D9390D" w:rsidP="001B4993">
            <w:pPr>
              <w:pStyle w:val="a"/>
              <w:spacing w:after="283"/>
              <w:jc w:val="center"/>
            </w:pPr>
            <w:r>
              <w:t>3.2.2-достаточность документов для запуска ИС в эксплуатацию</w:t>
            </w:r>
          </w:p>
        </w:tc>
        <w:tc>
          <w:tcPr>
            <w:tcW w:w="1399" w:type="dxa"/>
            <w:shd w:val="clear" w:color="auto" w:fill="auto"/>
            <w:vAlign w:val="center"/>
          </w:tcPr>
          <w:p w14:paraId="1E0BAD2C" w14:textId="77777777" w:rsidR="00D9390D" w:rsidRDefault="00D9390D" w:rsidP="001B4993">
            <w:pPr>
              <w:pStyle w:val="a"/>
              <w:spacing w:after="283"/>
              <w:jc w:val="center"/>
            </w:pPr>
            <w:r>
              <w:t>1</w:t>
            </w:r>
          </w:p>
        </w:tc>
      </w:tr>
      <w:tr w:rsidR="00D9390D" w14:paraId="3FEFBA65" w14:textId="77777777" w:rsidTr="001B4993">
        <w:tc>
          <w:tcPr>
            <w:tcW w:w="2219" w:type="dxa"/>
            <w:vMerge/>
            <w:shd w:val="clear" w:color="auto" w:fill="auto"/>
            <w:vAlign w:val="center"/>
          </w:tcPr>
          <w:p w14:paraId="1B7662E1" w14:textId="77777777" w:rsidR="00D9390D" w:rsidRDefault="00D9390D" w:rsidP="001B4993">
            <w:pPr>
              <w:pStyle w:val="a"/>
              <w:snapToGrid w:val="0"/>
              <w:rPr>
                <w:sz w:val="4"/>
                <w:szCs w:val="4"/>
              </w:rPr>
            </w:pPr>
          </w:p>
        </w:tc>
        <w:tc>
          <w:tcPr>
            <w:tcW w:w="2349" w:type="dxa"/>
            <w:vMerge w:val="restart"/>
            <w:shd w:val="clear" w:color="auto" w:fill="auto"/>
            <w:vAlign w:val="center"/>
          </w:tcPr>
          <w:p w14:paraId="27BC218A" w14:textId="77777777" w:rsidR="00D9390D" w:rsidRDefault="00D9390D" w:rsidP="001B4993">
            <w:pPr>
              <w:pStyle w:val="a"/>
              <w:spacing w:after="283"/>
              <w:jc w:val="center"/>
            </w:pPr>
            <w:r>
              <w:t>3.3 Простота использования</w:t>
            </w:r>
          </w:p>
        </w:tc>
        <w:tc>
          <w:tcPr>
            <w:tcW w:w="3381" w:type="dxa"/>
            <w:shd w:val="clear" w:color="auto" w:fill="auto"/>
            <w:vAlign w:val="center"/>
          </w:tcPr>
          <w:p w14:paraId="775F6FC4" w14:textId="77777777" w:rsidR="00D9390D" w:rsidRDefault="00D9390D" w:rsidP="001B4993">
            <w:pPr>
              <w:pStyle w:val="a"/>
              <w:spacing w:after="283"/>
              <w:jc w:val="center"/>
            </w:pPr>
            <w:r>
              <w:t>3.3.1-комфортность эксплуатации</w:t>
            </w:r>
          </w:p>
        </w:tc>
        <w:tc>
          <w:tcPr>
            <w:tcW w:w="1399" w:type="dxa"/>
            <w:shd w:val="clear" w:color="auto" w:fill="auto"/>
            <w:vAlign w:val="center"/>
          </w:tcPr>
          <w:p w14:paraId="234F9ABB" w14:textId="77777777" w:rsidR="00D9390D" w:rsidRDefault="00D9390D" w:rsidP="001B4993">
            <w:pPr>
              <w:pStyle w:val="a"/>
              <w:spacing w:after="283"/>
              <w:jc w:val="center"/>
            </w:pPr>
            <w:r>
              <w:t>1</w:t>
            </w:r>
          </w:p>
        </w:tc>
      </w:tr>
      <w:tr w:rsidR="00D9390D" w14:paraId="38A77064" w14:textId="77777777" w:rsidTr="001B4993">
        <w:tc>
          <w:tcPr>
            <w:tcW w:w="2219" w:type="dxa"/>
            <w:vMerge/>
            <w:shd w:val="clear" w:color="auto" w:fill="auto"/>
            <w:vAlign w:val="center"/>
          </w:tcPr>
          <w:p w14:paraId="6ACE92F3" w14:textId="77777777" w:rsidR="00D9390D" w:rsidRDefault="00D9390D" w:rsidP="001B4993">
            <w:pPr>
              <w:pStyle w:val="a"/>
              <w:snapToGrid w:val="0"/>
              <w:rPr>
                <w:sz w:val="4"/>
                <w:szCs w:val="4"/>
              </w:rPr>
            </w:pPr>
          </w:p>
        </w:tc>
        <w:tc>
          <w:tcPr>
            <w:tcW w:w="2349" w:type="dxa"/>
            <w:vMerge/>
            <w:shd w:val="clear" w:color="auto" w:fill="auto"/>
            <w:vAlign w:val="center"/>
          </w:tcPr>
          <w:p w14:paraId="11E86173" w14:textId="77777777" w:rsidR="00D9390D" w:rsidRDefault="00D9390D" w:rsidP="001B4993">
            <w:pPr>
              <w:pStyle w:val="a"/>
              <w:snapToGrid w:val="0"/>
              <w:rPr>
                <w:sz w:val="4"/>
                <w:szCs w:val="4"/>
              </w:rPr>
            </w:pPr>
          </w:p>
        </w:tc>
        <w:tc>
          <w:tcPr>
            <w:tcW w:w="3381" w:type="dxa"/>
            <w:shd w:val="clear" w:color="auto" w:fill="auto"/>
            <w:vAlign w:val="center"/>
          </w:tcPr>
          <w:p w14:paraId="1AEF4548" w14:textId="77777777" w:rsidR="00D9390D" w:rsidRDefault="00D9390D" w:rsidP="001B4993">
            <w:pPr>
              <w:pStyle w:val="a"/>
              <w:spacing w:after="283"/>
              <w:jc w:val="center"/>
            </w:pPr>
            <w:r>
              <w:t>3.3.2-простота эксплуатации ИС</w:t>
            </w:r>
          </w:p>
        </w:tc>
        <w:tc>
          <w:tcPr>
            <w:tcW w:w="1399" w:type="dxa"/>
            <w:shd w:val="clear" w:color="auto" w:fill="auto"/>
            <w:vAlign w:val="center"/>
          </w:tcPr>
          <w:p w14:paraId="6841A017" w14:textId="77777777" w:rsidR="00D9390D" w:rsidRDefault="00D9390D" w:rsidP="001B4993">
            <w:pPr>
              <w:pStyle w:val="a"/>
              <w:spacing w:after="283"/>
              <w:jc w:val="center"/>
            </w:pPr>
            <w:r>
              <w:t>1</w:t>
            </w:r>
          </w:p>
        </w:tc>
      </w:tr>
      <w:tr w:rsidR="00D9390D" w14:paraId="562A7A21" w14:textId="77777777" w:rsidTr="001B4993">
        <w:tc>
          <w:tcPr>
            <w:tcW w:w="2219" w:type="dxa"/>
            <w:vMerge w:val="restart"/>
            <w:shd w:val="clear" w:color="auto" w:fill="auto"/>
            <w:vAlign w:val="center"/>
          </w:tcPr>
          <w:p w14:paraId="0A8F8499" w14:textId="77777777" w:rsidR="00D9390D" w:rsidRDefault="00D9390D" w:rsidP="001B4993">
            <w:pPr>
              <w:pStyle w:val="a"/>
              <w:spacing w:after="283"/>
              <w:jc w:val="center"/>
            </w:pPr>
            <w:r>
              <w:t>4. Эффективность</w:t>
            </w:r>
          </w:p>
        </w:tc>
        <w:tc>
          <w:tcPr>
            <w:tcW w:w="2349" w:type="dxa"/>
            <w:vMerge w:val="restart"/>
            <w:shd w:val="clear" w:color="auto" w:fill="auto"/>
            <w:vAlign w:val="center"/>
          </w:tcPr>
          <w:p w14:paraId="3EDE9402" w14:textId="77777777" w:rsidR="00D9390D" w:rsidRDefault="00D9390D" w:rsidP="001B4993">
            <w:pPr>
              <w:pStyle w:val="a"/>
              <w:spacing w:after="283"/>
              <w:jc w:val="center"/>
            </w:pPr>
            <w:r>
              <w:t>4.1. Временная эффективность</w:t>
            </w:r>
          </w:p>
        </w:tc>
        <w:tc>
          <w:tcPr>
            <w:tcW w:w="3381" w:type="dxa"/>
            <w:shd w:val="clear" w:color="auto" w:fill="auto"/>
            <w:vAlign w:val="center"/>
          </w:tcPr>
          <w:p w14:paraId="7BE0F3EE" w14:textId="77777777" w:rsidR="00D9390D" w:rsidRDefault="00D9390D" w:rsidP="001B4993">
            <w:pPr>
              <w:pStyle w:val="a"/>
              <w:spacing w:after="283"/>
              <w:jc w:val="center"/>
            </w:pPr>
            <w:r>
              <w:t>4.1.1-удовлетворение временем выполнения программ и временем выдачи ответов на запросы</w:t>
            </w:r>
          </w:p>
        </w:tc>
        <w:tc>
          <w:tcPr>
            <w:tcW w:w="1399" w:type="dxa"/>
            <w:shd w:val="clear" w:color="auto" w:fill="auto"/>
            <w:vAlign w:val="center"/>
          </w:tcPr>
          <w:p w14:paraId="7FFADE2E" w14:textId="77777777" w:rsidR="00D9390D" w:rsidRDefault="00D9390D" w:rsidP="001B4993">
            <w:pPr>
              <w:pStyle w:val="a"/>
              <w:spacing w:after="283"/>
              <w:jc w:val="center"/>
            </w:pPr>
            <w:r>
              <w:t>1</w:t>
            </w:r>
          </w:p>
        </w:tc>
      </w:tr>
      <w:tr w:rsidR="00D9390D" w14:paraId="62F4B3F6" w14:textId="77777777" w:rsidTr="001B4993">
        <w:tc>
          <w:tcPr>
            <w:tcW w:w="2219" w:type="dxa"/>
            <w:vMerge/>
            <w:shd w:val="clear" w:color="auto" w:fill="auto"/>
            <w:vAlign w:val="center"/>
          </w:tcPr>
          <w:p w14:paraId="369C21B9" w14:textId="77777777" w:rsidR="00D9390D" w:rsidRDefault="00D9390D" w:rsidP="001B4993">
            <w:pPr>
              <w:pStyle w:val="a"/>
              <w:snapToGrid w:val="0"/>
              <w:rPr>
                <w:sz w:val="4"/>
                <w:szCs w:val="4"/>
              </w:rPr>
            </w:pPr>
          </w:p>
        </w:tc>
        <w:tc>
          <w:tcPr>
            <w:tcW w:w="2349" w:type="dxa"/>
            <w:vMerge/>
            <w:shd w:val="clear" w:color="auto" w:fill="auto"/>
            <w:vAlign w:val="center"/>
          </w:tcPr>
          <w:p w14:paraId="1EC698F7" w14:textId="77777777" w:rsidR="00D9390D" w:rsidRDefault="00D9390D" w:rsidP="001B4993">
            <w:pPr>
              <w:pStyle w:val="a"/>
              <w:snapToGrid w:val="0"/>
              <w:rPr>
                <w:sz w:val="4"/>
                <w:szCs w:val="4"/>
              </w:rPr>
            </w:pPr>
          </w:p>
        </w:tc>
        <w:tc>
          <w:tcPr>
            <w:tcW w:w="3381" w:type="dxa"/>
            <w:shd w:val="clear" w:color="auto" w:fill="auto"/>
            <w:vAlign w:val="center"/>
          </w:tcPr>
          <w:p w14:paraId="43E6FEA4" w14:textId="77777777" w:rsidR="00D9390D" w:rsidRDefault="00D9390D" w:rsidP="001B4993">
            <w:pPr>
              <w:pStyle w:val="a"/>
              <w:spacing w:after="283"/>
              <w:jc w:val="center"/>
            </w:pPr>
            <w:r>
              <w:t>4.1.2-удовлетворение временем подготовки входных данных</w:t>
            </w:r>
          </w:p>
        </w:tc>
        <w:tc>
          <w:tcPr>
            <w:tcW w:w="1399" w:type="dxa"/>
            <w:shd w:val="clear" w:color="auto" w:fill="auto"/>
            <w:vAlign w:val="center"/>
          </w:tcPr>
          <w:p w14:paraId="0FC3BB4A" w14:textId="77777777" w:rsidR="00D9390D" w:rsidRDefault="00D9390D" w:rsidP="001B4993">
            <w:pPr>
              <w:pStyle w:val="a"/>
              <w:spacing w:after="283"/>
              <w:jc w:val="center"/>
            </w:pPr>
            <w:r>
              <w:t>1</w:t>
            </w:r>
          </w:p>
        </w:tc>
      </w:tr>
      <w:tr w:rsidR="00D9390D" w14:paraId="2DD04DEA" w14:textId="77777777" w:rsidTr="001B4993">
        <w:tc>
          <w:tcPr>
            <w:tcW w:w="2219" w:type="dxa"/>
            <w:vMerge/>
            <w:shd w:val="clear" w:color="auto" w:fill="auto"/>
            <w:vAlign w:val="center"/>
          </w:tcPr>
          <w:p w14:paraId="60A8D967" w14:textId="77777777" w:rsidR="00D9390D" w:rsidRDefault="00D9390D" w:rsidP="001B4993">
            <w:pPr>
              <w:pStyle w:val="a"/>
              <w:snapToGrid w:val="0"/>
              <w:rPr>
                <w:sz w:val="4"/>
                <w:szCs w:val="4"/>
              </w:rPr>
            </w:pPr>
          </w:p>
        </w:tc>
        <w:tc>
          <w:tcPr>
            <w:tcW w:w="2349" w:type="dxa"/>
            <w:vMerge w:val="restart"/>
            <w:shd w:val="clear" w:color="auto" w:fill="auto"/>
            <w:vAlign w:val="center"/>
          </w:tcPr>
          <w:p w14:paraId="48A939FB" w14:textId="77777777" w:rsidR="00D9390D" w:rsidRDefault="00D9390D" w:rsidP="001B4993">
            <w:pPr>
              <w:pStyle w:val="a"/>
              <w:spacing w:after="283"/>
              <w:jc w:val="center"/>
            </w:pPr>
            <w:r>
              <w:t>4.2. Экономическая эффективность</w:t>
            </w:r>
          </w:p>
        </w:tc>
        <w:tc>
          <w:tcPr>
            <w:tcW w:w="3381" w:type="dxa"/>
            <w:shd w:val="clear" w:color="auto" w:fill="auto"/>
            <w:vAlign w:val="center"/>
          </w:tcPr>
          <w:p w14:paraId="1F222BCD" w14:textId="77777777" w:rsidR="00D9390D" w:rsidRDefault="00D9390D" w:rsidP="001B4993">
            <w:pPr>
              <w:pStyle w:val="a"/>
              <w:spacing w:after="283"/>
              <w:jc w:val="center"/>
            </w:pPr>
            <w:r>
              <w:t>4.2.1-удовлетворение затратами на защиту данных</w:t>
            </w:r>
          </w:p>
        </w:tc>
        <w:tc>
          <w:tcPr>
            <w:tcW w:w="1399" w:type="dxa"/>
            <w:shd w:val="clear" w:color="auto" w:fill="auto"/>
            <w:vAlign w:val="center"/>
          </w:tcPr>
          <w:p w14:paraId="7CF7143C" w14:textId="77777777" w:rsidR="00D9390D" w:rsidRDefault="00D9390D" w:rsidP="001B4993">
            <w:pPr>
              <w:pStyle w:val="a"/>
              <w:spacing w:after="283"/>
              <w:jc w:val="center"/>
            </w:pPr>
            <w:r>
              <w:t>1</w:t>
            </w:r>
          </w:p>
        </w:tc>
      </w:tr>
      <w:tr w:rsidR="00D9390D" w14:paraId="18664BDF" w14:textId="77777777" w:rsidTr="001B4993">
        <w:tc>
          <w:tcPr>
            <w:tcW w:w="2219" w:type="dxa"/>
            <w:vMerge/>
            <w:shd w:val="clear" w:color="auto" w:fill="auto"/>
            <w:vAlign w:val="center"/>
          </w:tcPr>
          <w:p w14:paraId="2B49D743" w14:textId="77777777" w:rsidR="00D9390D" w:rsidRDefault="00D9390D" w:rsidP="001B4993">
            <w:pPr>
              <w:pStyle w:val="a"/>
              <w:snapToGrid w:val="0"/>
              <w:rPr>
                <w:sz w:val="4"/>
                <w:szCs w:val="4"/>
              </w:rPr>
            </w:pPr>
          </w:p>
        </w:tc>
        <w:tc>
          <w:tcPr>
            <w:tcW w:w="2349" w:type="dxa"/>
            <w:vMerge/>
            <w:shd w:val="clear" w:color="auto" w:fill="auto"/>
            <w:vAlign w:val="center"/>
          </w:tcPr>
          <w:p w14:paraId="4AD3E33B" w14:textId="77777777" w:rsidR="00D9390D" w:rsidRDefault="00D9390D" w:rsidP="001B4993">
            <w:pPr>
              <w:pStyle w:val="a"/>
              <w:snapToGrid w:val="0"/>
              <w:rPr>
                <w:sz w:val="4"/>
                <w:szCs w:val="4"/>
              </w:rPr>
            </w:pPr>
          </w:p>
        </w:tc>
        <w:tc>
          <w:tcPr>
            <w:tcW w:w="3381" w:type="dxa"/>
            <w:shd w:val="clear" w:color="auto" w:fill="auto"/>
            <w:vAlign w:val="center"/>
          </w:tcPr>
          <w:p w14:paraId="3DC1299F" w14:textId="77777777" w:rsidR="00D9390D" w:rsidRDefault="00D9390D" w:rsidP="001B4993">
            <w:pPr>
              <w:pStyle w:val="a"/>
              <w:spacing w:after="283"/>
              <w:jc w:val="center"/>
            </w:pPr>
            <w:r>
              <w:t>4.2.2-удовлетворение соотношением общих затрат на эксплуатацию ИС и получаемой прибылью</w:t>
            </w:r>
          </w:p>
        </w:tc>
        <w:tc>
          <w:tcPr>
            <w:tcW w:w="1399" w:type="dxa"/>
            <w:shd w:val="clear" w:color="auto" w:fill="auto"/>
            <w:vAlign w:val="center"/>
          </w:tcPr>
          <w:p w14:paraId="366694C6" w14:textId="77777777" w:rsidR="00D9390D" w:rsidRDefault="00D9390D" w:rsidP="001B4993">
            <w:pPr>
              <w:pStyle w:val="a"/>
              <w:spacing w:after="283"/>
              <w:jc w:val="center"/>
            </w:pPr>
            <w:r>
              <w:t>1</w:t>
            </w:r>
          </w:p>
        </w:tc>
      </w:tr>
      <w:tr w:rsidR="00D9390D" w14:paraId="26503DC4" w14:textId="77777777" w:rsidTr="001B4993">
        <w:tc>
          <w:tcPr>
            <w:tcW w:w="2219" w:type="dxa"/>
            <w:vMerge/>
            <w:shd w:val="clear" w:color="auto" w:fill="auto"/>
            <w:vAlign w:val="center"/>
          </w:tcPr>
          <w:p w14:paraId="2779589E" w14:textId="77777777" w:rsidR="00D9390D" w:rsidRDefault="00D9390D" w:rsidP="001B4993">
            <w:pPr>
              <w:pStyle w:val="a"/>
              <w:snapToGrid w:val="0"/>
              <w:rPr>
                <w:sz w:val="4"/>
                <w:szCs w:val="4"/>
              </w:rPr>
            </w:pPr>
          </w:p>
        </w:tc>
        <w:tc>
          <w:tcPr>
            <w:tcW w:w="2349" w:type="dxa"/>
            <w:vMerge/>
            <w:shd w:val="clear" w:color="auto" w:fill="auto"/>
            <w:vAlign w:val="center"/>
          </w:tcPr>
          <w:p w14:paraId="75497E7C" w14:textId="77777777" w:rsidR="00D9390D" w:rsidRDefault="00D9390D" w:rsidP="001B4993">
            <w:pPr>
              <w:pStyle w:val="a"/>
              <w:snapToGrid w:val="0"/>
              <w:rPr>
                <w:sz w:val="4"/>
                <w:szCs w:val="4"/>
              </w:rPr>
            </w:pPr>
          </w:p>
        </w:tc>
        <w:tc>
          <w:tcPr>
            <w:tcW w:w="3381" w:type="dxa"/>
            <w:shd w:val="clear" w:color="auto" w:fill="auto"/>
            <w:vAlign w:val="center"/>
          </w:tcPr>
          <w:p w14:paraId="1F865A21" w14:textId="77777777" w:rsidR="00D9390D" w:rsidRDefault="00D9390D" w:rsidP="001B4993">
            <w:pPr>
              <w:pStyle w:val="a"/>
              <w:spacing w:after="283"/>
              <w:jc w:val="center"/>
            </w:pPr>
            <w:r>
              <w:t>4.2.3-удовлетворение соотношением затрат на защиту данных и получаемой прибылью</w:t>
            </w:r>
          </w:p>
        </w:tc>
        <w:tc>
          <w:tcPr>
            <w:tcW w:w="1399" w:type="dxa"/>
            <w:shd w:val="clear" w:color="auto" w:fill="auto"/>
            <w:vAlign w:val="center"/>
          </w:tcPr>
          <w:p w14:paraId="003C59DE" w14:textId="77777777" w:rsidR="00D9390D" w:rsidRDefault="00D9390D" w:rsidP="001B4993">
            <w:pPr>
              <w:pStyle w:val="a"/>
              <w:spacing w:after="283"/>
              <w:jc w:val="center"/>
            </w:pPr>
            <w:r>
              <w:t>1</w:t>
            </w:r>
          </w:p>
        </w:tc>
      </w:tr>
      <w:tr w:rsidR="00D9390D" w14:paraId="596F6EBD" w14:textId="77777777" w:rsidTr="001B4993">
        <w:tc>
          <w:tcPr>
            <w:tcW w:w="2219" w:type="dxa"/>
            <w:vMerge w:val="restart"/>
            <w:shd w:val="clear" w:color="auto" w:fill="auto"/>
            <w:vAlign w:val="center"/>
          </w:tcPr>
          <w:p w14:paraId="6514D30A" w14:textId="77777777" w:rsidR="00D9390D" w:rsidRDefault="00D9390D" w:rsidP="001B4993">
            <w:pPr>
              <w:pStyle w:val="a"/>
              <w:spacing w:after="283"/>
              <w:jc w:val="center"/>
              <w:rPr>
                <w:lang w:val="en-US"/>
              </w:rPr>
            </w:pPr>
            <w:r>
              <w:t xml:space="preserve">5. </w:t>
            </w:r>
          </w:p>
          <w:p w14:paraId="6F5E50CF" w14:textId="31B3FB95" w:rsidR="00D9390D" w:rsidRPr="00D9390D" w:rsidRDefault="00D9390D" w:rsidP="001B4993">
            <w:pPr>
              <w:pStyle w:val="a"/>
              <w:spacing w:after="283"/>
              <w:jc w:val="center"/>
            </w:pPr>
            <w:proofErr w:type="spellStart"/>
            <w:r>
              <w:t>Сопровождаемость</w:t>
            </w:r>
            <w:proofErr w:type="spellEnd"/>
          </w:p>
        </w:tc>
        <w:tc>
          <w:tcPr>
            <w:tcW w:w="2349" w:type="dxa"/>
            <w:vMerge w:val="restart"/>
            <w:shd w:val="clear" w:color="auto" w:fill="auto"/>
            <w:vAlign w:val="center"/>
          </w:tcPr>
          <w:p w14:paraId="104EFDCD" w14:textId="77777777" w:rsidR="00D9390D" w:rsidRDefault="00D9390D" w:rsidP="001B4993">
            <w:pPr>
              <w:pStyle w:val="a"/>
              <w:spacing w:after="283"/>
              <w:jc w:val="center"/>
            </w:pPr>
            <w:r>
              <w:t>5.1. Внесение текущих изменений в ИС в процессе эксплуатации</w:t>
            </w:r>
          </w:p>
        </w:tc>
        <w:tc>
          <w:tcPr>
            <w:tcW w:w="3381" w:type="dxa"/>
            <w:shd w:val="clear" w:color="auto" w:fill="auto"/>
            <w:vAlign w:val="center"/>
          </w:tcPr>
          <w:p w14:paraId="416B6AD4" w14:textId="77777777" w:rsidR="00D9390D" w:rsidRDefault="00D9390D" w:rsidP="001B4993">
            <w:pPr>
              <w:pStyle w:val="a"/>
              <w:spacing w:after="283"/>
              <w:jc w:val="center"/>
            </w:pPr>
            <w:r>
              <w:t>5.1.1-наличие документов, содержащих сроки внесения текущих изменений в ИС</w:t>
            </w:r>
          </w:p>
        </w:tc>
        <w:tc>
          <w:tcPr>
            <w:tcW w:w="1399" w:type="dxa"/>
            <w:shd w:val="clear" w:color="auto" w:fill="auto"/>
            <w:vAlign w:val="center"/>
          </w:tcPr>
          <w:p w14:paraId="50EE1A2F" w14:textId="77777777" w:rsidR="00D9390D" w:rsidRDefault="00D9390D" w:rsidP="001B4993">
            <w:pPr>
              <w:pStyle w:val="a"/>
              <w:spacing w:after="283"/>
              <w:jc w:val="center"/>
            </w:pPr>
            <w:r>
              <w:t>0</w:t>
            </w:r>
          </w:p>
        </w:tc>
      </w:tr>
      <w:tr w:rsidR="00D9390D" w14:paraId="59565FE2" w14:textId="77777777" w:rsidTr="001B4993">
        <w:tc>
          <w:tcPr>
            <w:tcW w:w="2219" w:type="dxa"/>
            <w:vMerge/>
            <w:shd w:val="clear" w:color="auto" w:fill="auto"/>
            <w:vAlign w:val="center"/>
          </w:tcPr>
          <w:p w14:paraId="22F8378E" w14:textId="77777777" w:rsidR="00D9390D" w:rsidRDefault="00D9390D" w:rsidP="001B4993">
            <w:pPr>
              <w:pStyle w:val="a"/>
              <w:snapToGrid w:val="0"/>
              <w:rPr>
                <w:sz w:val="4"/>
                <w:szCs w:val="4"/>
              </w:rPr>
            </w:pPr>
          </w:p>
        </w:tc>
        <w:tc>
          <w:tcPr>
            <w:tcW w:w="2349" w:type="dxa"/>
            <w:vMerge/>
            <w:shd w:val="clear" w:color="auto" w:fill="auto"/>
            <w:vAlign w:val="center"/>
          </w:tcPr>
          <w:p w14:paraId="277815D5" w14:textId="77777777" w:rsidR="00D9390D" w:rsidRDefault="00D9390D" w:rsidP="001B4993">
            <w:pPr>
              <w:pStyle w:val="a"/>
              <w:snapToGrid w:val="0"/>
              <w:rPr>
                <w:sz w:val="4"/>
                <w:szCs w:val="4"/>
              </w:rPr>
            </w:pPr>
          </w:p>
        </w:tc>
        <w:tc>
          <w:tcPr>
            <w:tcW w:w="3381" w:type="dxa"/>
            <w:shd w:val="clear" w:color="auto" w:fill="auto"/>
            <w:vAlign w:val="center"/>
          </w:tcPr>
          <w:p w14:paraId="44EA5EA6" w14:textId="77777777" w:rsidR="00D9390D" w:rsidRDefault="00D9390D" w:rsidP="001B4993">
            <w:pPr>
              <w:pStyle w:val="a"/>
              <w:spacing w:after="283"/>
              <w:jc w:val="center"/>
            </w:pPr>
            <w:r>
              <w:t>5.1.2-полнота документов, отражающих порядок внесения текущих изменений в ИС</w:t>
            </w:r>
          </w:p>
        </w:tc>
        <w:tc>
          <w:tcPr>
            <w:tcW w:w="1399" w:type="dxa"/>
            <w:shd w:val="clear" w:color="auto" w:fill="auto"/>
            <w:vAlign w:val="center"/>
          </w:tcPr>
          <w:p w14:paraId="6E3DF113" w14:textId="5B99C404" w:rsidR="00D9390D" w:rsidRDefault="00D9390D" w:rsidP="001B4993">
            <w:pPr>
              <w:pStyle w:val="a"/>
              <w:spacing w:after="283"/>
              <w:jc w:val="center"/>
            </w:pPr>
            <w:r>
              <w:t>1</w:t>
            </w:r>
          </w:p>
        </w:tc>
      </w:tr>
      <w:tr w:rsidR="00D9390D" w14:paraId="4D869EC4" w14:textId="77777777" w:rsidTr="001B4993">
        <w:tc>
          <w:tcPr>
            <w:tcW w:w="2219" w:type="dxa"/>
            <w:vMerge/>
            <w:shd w:val="clear" w:color="auto" w:fill="auto"/>
            <w:vAlign w:val="center"/>
          </w:tcPr>
          <w:p w14:paraId="61A95636" w14:textId="77777777" w:rsidR="00D9390D" w:rsidRDefault="00D9390D" w:rsidP="001B4993">
            <w:pPr>
              <w:pStyle w:val="a"/>
              <w:snapToGrid w:val="0"/>
              <w:rPr>
                <w:sz w:val="4"/>
                <w:szCs w:val="4"/>
              </w:rPr>
            </w:pPr>
          </w:p>
        </w:tc>
        <w:tc>
          <w:tcPr>
            <w:tcW w:w="2349" w:type="dxa"/>
            <w:vMerge/>
            <w:shd w:val="clear" w:color="auto" w:fill="auto"/>
            <w:vAlign w:val="center"/>
          </w:tcPr>
          <w:p w14:paraId="385D5226" w14:textId="77777777" w:rsidR="00D9390D" w:rsidRDefault="00D9390D" w:rsidP="001B4993">
            <w:pPr>
              <w:pStyle w:val="a"/>
              <w:snapToGrid w:val="0"/>
              <w:rPr>
                <w:sz w:val="4"/>
                <w:szCs w:val="4"/>
              </w:rPr>
            </w:pPr>
          </w:p>
        </w:tc>
        <w:tc>
          <w:tcPr>
            <w:tcW w:w="3381" w:type="dxa"/>
            <w:shd w:val="clear" w:color="auto" w:fill="auto"/>
            <w:vAlign w:val="center"/>
          </w:tcPr>
          <w:p w14:paraId="6F25514C" w14:textId="77777777" w:rsidR="00D9390D" w:rsidRDefault="00D9390D" w:rsidP="001B4993">
            <w:pPr>
              <w:pStyle w:val="a"/>
              <w:spacing w:after="283"/>
              <w:jc w:val="center"/>
            </w:pPr>
            <w:r>
              <w:t>5.1.3-наличие системы контроля за внесением текущих изменений в ИС</w:t>
            </w:r>
          </w:p>
        </w:tc>
        <w:tc>
          <w:tcPr>
            <w:tcW w:w="1399" w:type="dxa"/>
            <w:shd w:val="clear" w:color="auto" w:fill="auto"/>
            <w:vAlign w:val="center"/>
          </w:tcPr>
          <w:p w14:paraId="05ACB41E" w14:textId="77777777" w:rsidR="00D9390D" w:rsidRDefault="00D9390D" w:rsidP="001B4993">
            <w:pPr>
              <w:pStyle w:val="a"/>
              <w:spacing w:after="283"/>
              <w:jc w:val="center"/>
            </w:pPr>
            <w:r>
              <w:t>0</w:t>
            </w:r>
          </w:p>
        </w:tc>
      </w:tr>
      <w:tr w:rsidR="00D9390D" w14:paraId="3B60F167" w14:textId="77777777" w:rsidTr="001B4993">
        <w:tc>
          <w:tcPr>
            <w:tcW w:w="2219" w:type="dxa"/>
            <w:vMerge/>
            <w:shd w:val="clear" w:color="auto" w:fill="auto"/>
            <w:vAlign w:val="center"/>
          </w:tcPr>
          <w:p w14:paraId="4085A410" w14:textId="77777777" w:rsidR="00D9390D" w:rsidRDefault="00D9390D" w:rsidP="001B4993">
            <w:pPr>
              <w:pStyle w:val="a"/>
              <w:snapToGrid w:val="0"/>
              <w:rPr>
                <w:sz w:val="4"/>
                <w:szCs w:val="4"/>
              </w:rPr>
            </w:pPr>
          </w:p>
        </w:tc>
        <w:tc>
          <w:tcPr>
            <w:tcW w:w="2349" w:type="dxa"/>
            <w:vMerge w:val="restart"/>
            <w:shd w:val="clear" w:color="auto" w:fill="auto"/>
            <w:vAlign w:val="center"/>
          </w:tcPr>
          <w:p w14:paraId="61F3D200" w14:textId="77777777" w:rsidR="00D9390D" w:rsidRDefault="00D9390D" w:rsidP="001B4993">
            <w:pPr>
              <w:pStyle w:val="a"/>
              <w:spacing w:after="283"/>
              <w:jc w:val="center"/>
            </w:pPr>
            <w:r>
              <w:t>5.2. Обучение персонала в период внедрения и после внесения изменений в ИС</w:t>
            </w:r>
          </w:p>
        </w:tc>
        <w:tc>
          <w:tcPr>
            <w:tcW w:w="3381" w:type="dxa"/>
            <w:shd w:val="clear" w:color="auto" w:fill="auto"/>
            <w:vAlign w:val="center"/>
          </w:tcPr>
          <w:p w14:paraId="61CC422F" w14:textId="77777777" w:rsidR="00D9390D" w:rsidRDefault="00D9390D" w:rsidP="001B4993">
            <w:pPr>
              <w:pStyle w:val="a"/>
              <w:spacing w:after="283"/>
              <w:jc w:val="center"/>
            </w:pPr>
            <w:r>
              <w:t>5.2.1-наличие системы обучения персонала в процессе внедрения ИС</w:t>
            </w:r>
          </w:p>
        </w:tc>
        <w:tc>
          <w:tcPr>
            <w:tcW w:w="1399" w:type="dxa"/>
            <w:shd w:val="clear" w:color="auto" w:fill="auto"/>
            <w:vAlign w:val="center"/>
          </w:tcPr>
          <w:p w14:paraId="7413EC66" w14:textId="77777777" w:rsidR="00D9390D" w:rsidRDefault="00D9390D" w:rsidP="001B4993">
            <w:pPr>
              <w:pStyle w:val="a"/>
              <w:spacing w:after="283"/>
              <w:jc w:val="center"/>
            </w:pPr>
            <w:r>
              <w:t>1</w:t>
            </w:r>
          </w:p>
        </w:tc>
      </w:tr>
      <w:tr w:rsidR="00D9390D" w14:paraId="064CB7A4" w14:textId="77777777" w:rsidTr="001B4993">
        <w:tc>
          <w:tcPr>
            <w:tcW w:w="2219" w:type="dxa"/>
            <w:vMerge/>
            <w:shd w:val="clear" w:color="auto" w:fill="auto"/>
            <w:vAlign w:val="center"/>
          </w:tcPr>
          <w:p w14:paraId="1119C913" w14:textId="77777777" w:rsidR="00D9390D" w:rsidRDefault="00D9390D" w:rsidP="001B4993">
            <w:pPr>
              <w:pStyle w:val="a"/>
              <w:snapToGrid w:val="0"/>
              <w:rPr>
                <w:sz w:val="4"/>
                <w:szCs w:val="4"/>
              </w:rPr>
            </w:pPr>
          </w:p>
        </w:tc>
        <w:tc>
          <w:tcPr>
            <w:tcW w:w="2349" w:type="dxa"/>
            <w:vMerge/>
            <w:shd w:val="clear" w:color="auto" w:fill="auto"/>
            <w:vAlign w:val="center"/>
          </w:tcPr>
          <w:p w14:paraId="25438A69" w14:textId="77777777" w:rsidR="00D9390D" w:rsidRDefault="00D9390D" w:rsidP="001B4993">
            <w:pPr>
              <w:pStyle w:val="a"/>
              <w:snapToGrid w:val="0"/>
              <w:rPr>
                <w:sz w:val="4"/>
                <w:szCs w:val="4"/>
              </w:rPr>
            </w:pPr>
          </w:p>
        </w:tc>
        <w:tc>
          <w:tcPr>
            <w:tcW w:w="3381" w:type="dxa"/>
            <w:shd w:val="clear" w:color="auto" w:fill="auto"/>
            <w:vAlign w:val="center"/>
          </w:tcPr>
          <w:p w14:paraId="2B21B3F0" w14:textId="77777777" w:rsidR="00D9390D" w:rsidRDefault="00D9390D" w:rsidP="001B4993">
            <w:pPr>
              <w:pStyle w:val="a"/>
              <w:spacing w:after="283"/>
              <w:jc w:val="center"/>
            </w:pPr>
            <w:r>
              <w:t>5.2.2-наличие тестов для контроля уровня знаний обучаемых</w:t>
            </w:r>
          </w:p>
        </w:tc>
        <w:tc>
          <w:tcPr>
            <w:tcW w:w="1399" w:type="dxa"/>
            <w:shd w:val="clear" w:color="auto" w:fill="auto"/>
            <w:vAlign w:val="center"/>
          </w:tcPr>
          <w:p w14:paraId="4700D734" w14:textId="77777777" w:rsidR="00D9390D" w:rsidRDefault="00D9390D" w:rsidP="001B4993">
            <w:pPr>
              <w:pStyle w:val="a"/>
              <w:spacing w:after="283"/>
              <w:jc w:val="center"/>
            </w:pPr>
            <w:r>
              <w:t>0</w:t>
            </w:r>
          </w:p>
        </w:tc>
      </w:tr>
      <w:tr w:rsidR="00D9390D" w14:paraId="502C8F3B" w14:textId="77777777" w:rsidTr="001B4993">
        <w:tc>
          <w:tcPr>
            <w:tcW w:w="2219" w:type="dxa"/>
            <w:vMerge/>
            <w:shd w:val="clear" w:color="auto" w:fill="auto"/>
            <w:vAlign w:val="center"/>
          </w:tcPr>
          <w:p w14:paraId="482DC893" w14:textId="77777777" w:rsidR="00D9390D" w:rsidRDefault="00D9390D" w:rsidP="001B4993">
            <w:pPr>
              <w:pStyle w:val="a"/>
              <w:snapToGrid w:val="0"/>
              <w:rPr>
                <w:sz w:val="4"/>
                <w:szCs w:val="4"/>
              </w:rPr>
            </w:pPr>
          </w:p>
        </w:tc>
        <w:tc>
          <w:tcPr>
            <w:tcW w:w="2349" w:type="dxa"/>
            <w:vMerge/>
            <w:shd w:val="clear" w:color="auto" w:fill="auto"/>
            <w:vAlign w:val="center"/>
          </w:tcPr>
          <w:p w14:paraId="1F747982" w14:textId="77777777" w:rsidR="00D9390D" w:rsidRDefault="00D9390D" w:rsidP="001B4993">
            <w:pPr>
              <w:pStyle w:val="a"/>
              <w:snapToGrid w:val="0"/>
              <w:rPr>
                <w:sz w:val="4"/>
                <w:szCs w:val="4"/>
              </w:rPr>
            </w:pPr>
          </w:p>
        </w:tc>
        <w:tc>
          <w:tcPr>
            <w:tcW w:w="3381" w:type="dxa"/>
            <w:shd w:val="clear" w:color="auto" w:fill="auto"/>
            <w:vAlign w:val="center"/>
          </w:tcPr>
          <w:p w14:paraId="52663C5A" w14:textId="77777777" w:rsidR="00D9390D" w:rsidRDefault="00D9390D" w:rsidP="001B4993">
            <w:pPr>
              <w:pStyle w:val="a"/>
              <w:spacing w:after="283"/>
              <w:jc w:val="center"/>
            </w:pPr>
            <w:r>
              <w:t>5.2.3-наличие системы обучения после внесения изменений в ИС</w:t>
            </w:r>
          </w:p>
        </w:tc>
        <w:tc>
          <w:tcPr>
            <w:tcW w:w="1399" w:type="dxa"/>
            <w:shd w:val="clear" w:color="auto" w:fill="auto"/>
            <w:vAlign w:val="center"/>
          </w:tcPr>
          <w:p w14:paraId="37263784" w14:textId="77777777" w:rsidR="00D9390D" w:rsidRDefault="00D9390D" w:rsidP="001B4993">
            <w:pPr>
              <w:pStyle w:val="a"/>
              <w:spacing w:after="283"/>
              <w:jc w:val="center"/>
            </w:pPr>
            <w:r>
              <w:t>1</w:t>
            </w:r>
          </w:p>
        </w:tc>
      </w:tr>
      <w:tr w:rsidR="00D9390D" w14:paraId="467AE2DF" w14:textId="77777777" w:rsidTr="001B4993">
        <w:tc>
          <w:tcPr>
            <w:tcW w:w="2219" w:type="dxa"/>
            <w:vMerge/>
            <w:shd w:val="clear" w:color="auto" w:fill="auto"/>
            <w:vAlign w:val="center"/>
          </w:tcPr>
          <w:p w14:paraId="587FA0D3" w14:textId="77777777" w:rsidR="00D9390D" w:rsidRDefault="00D9390D" w:rsidP="001B4993">
            <w:pPr>
              <w:pStyle w:val="a"/>
              <w:snapToGrid w:val="0"/>
              <w:rPr>
                <w:sz w:val="4"/>
                <w:szCs w:val="4"/>
              </w:rPr>
            </w:pPr>
          </w:p>
        </w:tc>
        <w:tc>
          <w:tcPr>
            <w:tcW w:w="2349" w:type="dxa"/>
            <w:vMerge/>
            <w:shd w:val="clear" w:color="auto" w:fill="auto"/>
            <w:vAlign w:val="center"/>
          </w:tcPr>
          <w:p w14:paraId="3349A90D" w14:textId="77777777" w:rsidR="00D9390D" w:rsidRDefault="00D9390D" w:rsidP="001B4993">
            <w:pPr>
              <w:pStyle w:val="a"/>
              <w:snapToGrid w:val="0"/>
              <w:rPr>
                <w:sz w:val="4"/>
                <w:szCs w:val="4"/>
              </w:rPr>
            </w:pPr>
          </w:p>
        </w:tc>
        <w:tc>
          <w:tcPr>
            <w:tcW w:w="3381" w:type="dxa"/>
            <w:shd w:val="clear" w:color="auto" w:fill="auto"/>
            <w:vAlign w:val="center"/>
          </w:tcPr>
          <w:p w14:paraId="2BE72EDE" w14:textId="77777777" w:rsidR="00D9390D" w:rsidRDefault="00D9390D" w:rsidP="001B4993">
            <w:pPr>
              <w:pStyle w:val="a"/>
              <w:spacing w:after="283"/>
              <w:jc w:val="center"/>
            </w:pPr>
            <w:r>
              <w:t>5.2.4-наличие требований к знаниям персонала допущенного к эксплуатации ИС</w:t>
            </w:r>
          </w:p>
        </w:tc>
        <w:tc>
          <w:tcPr>
            <w:tcW w:w="1399" w:type="dxa"/>
            <w:shd w:val="clear" w:color="auto" w:fill="auto"/>
            <w:vAlign w:val="center"/>
          </w:tcPr>
          <w:p w14:paraId="5EFDB7A3" w14:textId="77777777" w:rsidR="00D9390D" w:rsidRDefault="00D9390D" w:rsidP="001B4993">
            <w:pPr>
              <w:pStyle w:val="a"/>
              <w:spacing w:after="283"/>
              <w:jc w:val="center"/>
            </w:pPr>
            <w:r>
              <w:t>1</w:t>
            </w:r>
          </w:p>
        </w:tc>
      </w:tr>
    </w:tbl>
    <w:p w14:paraId="545B0356" w14:textId="1A9DB6F6" w:rsidR="009303F6" w:rsidRDefault="00D9390D">
      <m:oMath>
        <m:f>
          <m:fPr>
            <m:ctrlPr>
              <w:rPr>
                <w:rFonts w:ascii="Cambria Math" w:hAnsi="Cambria Math"/>
                <w:i/>
              </w:rPr>
            </m:ctrlPr>
          </m:fPr>
          <m:num>
            <m:r>
              <w:rPr>
                <w:rFonts w:ascii="Cambria Math" w:hAnsi="Cambria Math"/>
              </w:rPr>
              <m:t>20</m:t>
            </m:r>
            <m:r>
              <w:rPr>
                <w:rFonts w:ascii="Cambria Math" w:hAnsi="Cambria Math"/>
                <w:lang w:val="en-US"/>
              </w:rPr>
              <m:t xml:space="preserve"> </m:t>
            </m:r>
          </m:num>
          <m:den>
            <m:r>
              <w:rPr>
                <w:rFonts w:ascii="Cambria Math" w:hAnsi="Cambria Math"/>
              </w:rPr>
              <m:t>26</m:t>
            </m:r>
          </m:den>
        </m:f>
      </m:oMath>
      <w:r>
        <w:t xml:space="preserve"> =</w:t>
      </w:r>
      <w:r w:rsidR="00254065" w:rsidRPr="00254065">
        <w:t xml:space="preserve"> </w:t>
      </w:r>
      <w:r w:rsidR="00254065" w:rsidRPr="00254065">
        <w:t>0.76923076923</w:t>
      </w:r>
      <w:r w:rsidR="00254065">
        <w:t xml:space="preserve"> оценка качества «высокая».</w:t>
      </w:r>
    </w:p>
    <w:p w14:paraId="2F80B86F" w14:textId="2E797FD9" w:rsidR="000F43B8" w:rsidRDefault="000F43B8"/>
    <w:p w14:paraId="062A8439" w14:textId="281F30C3" w:rsidR="000F43B8" w:rsidRDefault="000F43B8">
      <w:pPr>
        <w:suppressAutoHyphens w:val="0"/>
        <w:spacing w:after="160" w:line="259" w:lineRule="auto"/>
      </w:pPr>
      <w:r>
        <w:br w:type="page"/>
      </w:r>
    </w:p>
    <w:p w14:paraId="4F9E6934" w14:textId="7C204153" w:rsidR="000F43B8" w:rsidRPr="000F43B8" w:rsidRDefault="000F43B8" w:rsidP="000F43B8">
      <w:pPr>
        <w:jc w:val="center"/>
        <w:rPr>
          <w:rFonts w:ascii="Times New Roman" w:hAnsi="Times New Roman" w:cs="Times New Roman"/>
          <w:b/>
          <w:bCs/>
          <w:iCs/>
          <w:sz w:val="28"/>
          <w:szCs w:val="28"/>
        </w:rPr>
      </w:pPr>
      <w:r w:rsidRPr="000F43B8">
        <w:rPr>
          <w:rFonts w:ascii="Times New Roman" w:hAnsi="Times New Roman" w:cs="Times New Roman"/>
          <w:b/>
          <w:bCs/>
          <w:iCs/>
          <w:sz w:val="28"/>
          <w:szCs w:val="28"/>
        </w:rPr>
        <w:lastRenderedPageBreak/>
        <w:t>Регламент резервного копирования</w:t>
      </w:r>
    </w:p>
    <w:p w14:paraId="3BB68991" w14:textId="64C8516C" w:rsidR="000F43B8" w:rsidRDefault="000F43B8" w:rsidP="000F43B8">
      <w:pPr>
        <w:jc w:val="center"/>
        <w:rPr>
          <w:rFonts w:ascii="Times New Roman" w:hAnsi="Times New Roman" w:cs="Times New Roman"/>
          <w:iCs/>
          <w:sz w:val="28"/>
          <w:szCs w:val="28"/>
        </w:rPr>
      </w:pPr>
    </w:p>
    <w:p w14:paraId="46FA118C" w14:textId="77777777" w:rsidR="00C2404E" w:rsidRDefault="00C2404E" w:rsidP="00C2404E">
      <w:pPr>
        <w:pStyle w:val="Heading2"/>
      </w:pPr>
      <w:r>
        <w:t>1. Список терминов и определений</w:t>
      </w:r>
    </w:p>
    <w:p w14:paraId="027FF590" w14:textId="40B51977" w:rsidR="00C2404E" w:rsidRDefault="00C2404E" w:rsidP="00C2404E">
      <w:pPr>
        <w:pStyle w:val="BodyText"/>
        <w:numPr>
          <w:ilvl w:val="0"/>
          <w:numId w:val="2"/>
        </w:numPr>
        <w:tabs>
          <w:tab w:val="left" w:pos="0"/>
        </w:tabs>
        <w:spacing w:after="0"/>
      </w:pPr>
      <w:r>
        <w:rPr>
          <w:rStyle w:val="Strong"/>
        </w:rPr>
        <w:t>Заказчик</w:t>
      </w:r>
      <w:r>
        <w:t xml:space="preserve"> – Компания ОАО </w:t>
      </w:r>
      <w:r>
        <w:rPr>
          <w:lang w:val="en-US"/>
        </w:rPr>
        <w:t>“</w:t>
      </w:r>
      <w:r>
        <w:t>Библиотека</w:t>
      </w:r>
      <w:r>
        <w:rPr>
          <w:lang w:val="en-US"/>
        </w:rPr>
        <w:t>”.</w:t>
      </w:r>
    </w:p>
    <w:p w14:paraId="01FC56A7" w14:textId="29A12045" w:rsidR="00C2404E" w:rsidRDefault="00C2404E" w:rsidP="00C2404E">
      <w:pPr>
        <w:pStyle w:val="BodyText"/>
        <w:numPr>
          <w:ilvl w:val="0"/>
          <w:numId w:val="2"/>
        </w:numPr>
        <w:tabs>
          <w:tab w:val="left" w:pos="0"/>
        </w:tabs>
        <w:spacing w:after="0"/>
      </w:pPr>
      <w:r>
        <w:rPr>
          <w:rStyle w:val="Strong"/>
        </w:rPr>
        <w:t>Исполнитель</w:t>
      </w:r>
      <w:r>
        <w:t xml:space="preserve"> – Компания БПОУ ВО </w:t>
      </w:r>
      <w:r w:rsidRPr="00C2404E">
        <w:t>“</w:t>
      </w:r>
      <w:r>
        <w:t>ЧЛМТ</w:t>
      </w:r>
      <w:r w:rsidRPr="00C2404E">
        <w:t>”</w:t>
      </w:r>
      <w:r>
        <w:t>.</w:t>
      </w:r>
    </w:p>
    <w:p w14:paraId="48950722" w14:textId="77777777" w:rsidR="00C2404E" w:rsidRDefault="00C2404E" w:rsidP="00C2404E">
      <w:pPr>
        <w:pStyle w:val="BodyText"/>
        <w:numPr>
          <w:ilvl w:val="0"/>
          <w:numId w:val="2"/>
        </w:numPr>
        <w:tabs>
          <w:tab w:val="left" w:pos="0"/>
        </w:tabs>
        <w:spacing w:after="0"/>
      </w:pPr>
      <w:r>
        <w:rPr>
          <w:rStyle w:val="Strong"/>
        </w:rPr>
        <w:t>ГСА (группа системных администраторов)</w:t>
      </w:r>
      <w:r>
        <w:t xml:space="preserve"> - группа сотрудников Исполнителя, обеспечивающая развитие и устранение сложных неисправностей ИТ-инфраструктуры Заказчика.</w:t>
      </w:r>
    </w:p>
    <w:p w14:paraId="183F7240" w14:textId="77777777" w:rsidR="00C2404E" w:rsidRDefault="00C2404E" w:rsidP="00C2404E">
      <w:pPr>
        <w:pStyle w:val="BodyText"/>
        <w:numPr>
          <w:ilvl w:val="0"/>
          <w:numId w:val="2"/>
        </w:numPr>
        <w:tabs>
          <w:tab w:val="left" w:pos="0"/>
        </w:tabs>
        <w:spacing w:after="0"/>
      </w:pPr>
      <w:r>
        <w:rPr>
          <w:rStyle w:val="Strong"/>
        </w:rPr>
        <w:t>ГТП (группа технической поддержки)</w:t>
      </w:r>
      <w:r>
        <w:t xml:space="preserve"> – группа сотрудников Исполнителя, обеспечивающая техническую поддержку сотрудников Заказчика.</w:t>
      </w:r>
    </w:p>
    <w:p w14:paraId="550EB759" w14:textId="77777777" w:rsidR="00C2404E" w:rsidRDefault="00C2404E" w:rsidP="00C2404E">
      <w:pPr>
        <w:pStyle w:val="BodyText"/>
        <w:numPr>
          <w:ilvl w:val="0"/>
          <w:numId w:val="2"/>
        </w:numPr>
        <w:tabs>
          <w:tab w:val="left" w:pos="0"/>
        </w:tabs>
        <w:spacing w:after="0"/>
      </w:pPr>
      <w:r>
        <w:rPr>
          <w:rStyle w:val="Strong"/>
        </w:rPr>
        <w:t>ИТ-инфраструктура</w:t>
      </w:r>
      <w:r>
        <w:t xml:space="preserve"> - совокупность аппаратного и программного обеспечения компании Заказчика, а также правил и методов их настройки, обеспечивающих технологию совместной работы сотрудников Заказчика.</w:t>
      </w:r>
    </w:p>
    <w:p w14:paraId="309CB0B8" w14:textId="77777777" w:rsidR="00C2404E" w:rsidRDefault="00C2404E" w:rsidP="00C2404E">
      <w:pPr>
        <w:pStyle w:val="BodyText"/>
        <w:numPr>
          <w:ilvl w:val="0"/>
          <w:numId w:val="2"/>
        </w:numPr>
        <w:tabs>
          <w:tab w:val="left" w:pos="0"/>
        </w:tabs>
        <w:spacing w:after="0"/>
      </w:pPr>
      <w:r>
        <w:rPr>
          <w:rStyle w:val="Strong"/>
        </w:rPr>
        <w:t>Администратор файлового сервера</w:t>
      </w:r>
      <w:r>
        <w:t xml:space="preserve"> – сотрудник Исполнителя из числа ГСА, осуществляющий управление файловым сервером</w:t>
      </w:r>
    </w:p>
    <w:p w14:paraId="06343F17" w14:textId="77777777" w:rsidR="00C2404E" w:rsidRDefault="00C2404E" w:rsidP="00C2404E">
      <w:pPr>
        <w:pStyle w:val="BodyText"/>
        <w:numPr>
          <w:ilvl w:val="0"/>
          <w:numId w:val="2"/>
        </w:numPr>
        <w:tabs>
          <w:tab w:val="left" w:pos="0"/>
        </w:tabs>
        <w:spacing w:after="0"/>
      </w:pPr>
      <w:r>
        <w:rPr>
          <w:rStyle w:val="Strong"/>
        </w:rPr>
        <w:t>Сотрудник технической поддержки</w:t>
      </w:r>
      <w:r>
        <w:t xml:space="preserve"> – сотрудник Исполнителя из числа ГСА.</w:t>
      </w:r>
    </w:p>
    <w:p w14:paraId="1D650A55" w14:textId="77777777" w:rsidR="00C2404E" w:rsidRDefault="00C2404E" w:rsidP="00C2404E">
      <w:pPr>
        <w:pStyle w:val="BodyText"/>
        <w:numPr>
          <w:ilvl w:val="0"/>
          <w:numId w:val="2"/>
        </w:numPr>
        <w:tabs>
          <w:tab w:val="left" w:pos="0"/>
        </w:tabs>
        <w:spacing w:after="0"/>
      </w:pPr>
      <w:r>
        <w:rPr>
          <w:rStyle w:val="Strong"/>
        </w:rPr>
        <w:t>Заявка</w:t>
      </w:r>
      <w:r>
        <w:t xml:space="preserve"> – запрос сотрудника предприятия к службе технической поддержки на решение какой-либо технической проблемы. Заявка содержит описание проблемы и электронный адрес сотрудника.</w:t>
      </w:r>
    </w:p>
    <w:p w14:paraId="484A2277" w14:textId="77777777" w:rsidR="00C2404E" w:rsidRDefault="00C2404E" w:rsidP="00C2404E">
      <w:pPr>
        <w:pStyle w:val="BodyText"/>
        <w:numPr>
          <w:ilvl w:val="0"/>
          <w:numId w:val="2"/>
        </w:numPr>
        <w:tabs>
          <w:tab w:val="left" w:pos="0"/>
        </w:tabs>
        <w:spacing w:after="0"/>
      </w:pPr>
      <w:r>
        <w:rPr>
          <w:rStyle w:val="Strong"/>
        </w:rPr>
        <w:t>Ресурс файлового сервера (далее Ресурс)</w:t>
      </w:r>
      <w:r>
        <w:t xml:space="preserve"> – это каталог на файловом сервере, предназначенный для хранения файлов в целях, указанных в заявке на создание ресурса.</w:t>
      </w:r>
    </w:p>
    <w:p w14:paraId="5F1902EC" w14:textId="77777777" w:rsidR="00C2404E" w:rsidRDefault="00C2404E" w:rsidP="00C2404E">
      <w:pPr>
        <w:pStyle w:val="BodyText"/>
        <w:numPr>
          <w:ilvl w:val="0"/>
          <w:numId w:val="2"/>
        </w:numPr>
        <w:tabs>
          <w:tab w:val="left" w:pos="0"/>
        </w:tabs>
        <w:spacing w:after="0"/>
      </w:pPr>
      <w:r>
        <w:rPr>
          <w:rStyle w:val="Strong"/>
        </w:rPr>
        <w:t>Ответственный за информационные ресурсы Заказчика</w:t>
      </w:r>
      <w:r>
        <w:t xml:space="preserve"> – сотрудник Заказчика из числа руководителей принимающий решения о создании новых Ресурсов.</w:t>
      </w:r>
    </w:p>
    <w:p w14:paraId="5D9213D0" w14:textId="4117A644" w:rsidR="00C2404E" w:rsidRDefault="00C2404E" w:rsidP="00C2404E">
      <w:pPr>
        <w:pStyle w:val="BodyText"/>
        <w:numPr>
          <w:ilvl w:val="0"/>
          <w:numId w:val="2"/>
        </w:numPr>
        <w:tabs>
          <w:tab w:val="left" w:pos="0"/>
        </w:tabs>
        <w:spacing w:after="0"/>
      </w:pPr>
      <w:r>
        <w:rPr>
          <w:rStyle w:val="Strong"/>
        </w:rPr>
        <w:t>ИС «</w:t>
      </w:r>
      <w:r w:rsidR="007B4462">
        <w:rPr>
          <w:rStyle w:val="Strong"/>
        </w:rPr>
        <w:t>УКБ</w:t>
      </w:r>
      <w:r>
        <w:rPr>
          <w:rStyle w:val="Strong"/>
        </w:rPr>
        <w:t>»</w:t>
      </w:r>
      <w:r>
        <w:t xml:space="preserve"> – информационная система, обеспечивающая прием и обработку заявок сотрудников Заказчика.</w:t>
      </w:r>
    </w:p>
    <w:p w14:paraId="40C51630" w14:textId="77777777" w:rsidR="00C2404E" w:rsidRDefault="00C2404E" w:rsidP="00C2404E">
      <w:pPr>
        <w:pStyle w:val="Heading2"/>
      </w:pPr>
      <w:bookmarkStart w:id="0" w:name="%25D0%25BE%25D0%25B1%25D1%2589%25D0%25B8"/>
      <w:bookmarkEnd w:id="0"/>
      <w:r>
        <w:t>2. Общие положения</w:t>
      </w:r>
    </w:p>
    <w:p w14:paraId="63F10D78" w14:textId="77777777" w:rsidR="00C2404E" w:rsidRDefault="00C2404E" w:rsidP="00C2404E">
      <w:pPr>
        <w:pStyle w:val="BodyText"/>
      </w:pPr>
      <w:r>
        <w:t xml:space="preserve">Настоящий Регламент проведения резервного копирования (восстановления) программ и данных, хранящихся на серверах ИТ-инфраструктуры Заказчика разработан с целью: </w:t>
      </w:r>
    </w:p>
    <w:p w14:paraId="319EB339" w14:textId="77777777" w:rsidR="00C2404E" w:rsidRDefault="00C2404E" w:rsidP="00C2404E">
      <w:pPr>
        <w:pStyle w:val="BodyText"/>
        <w:numPr>
          <w:ilvl w:val="0"/>
          <w:numId w:val="3"/>
        </w:numPr>
        <w:tabs>
          <w:tab w:val="left" w:pos="0"/>
        </w:tabs>
        <w:spacing w:after="0"/>
      </w:pPr>
      <w:r>
        <w:t>определения порядка резервирования данных для последующего восстановления работоспособности автоматизированных систем Заказчика при полной или частичной потере информации, вызванной сбоями или отказами аппаратного или программного обеспечения, ошибками пользователей, чрезвычайными обстоятельствами (пожаром, стихийными бедствиями и т.д.);</w:t>
      </w:r>
    </w:p>
    <w:p w14:paraId="304E6A80" w14:textId="77777777" w:rsidR="00C2404E" w:rsidRDefault="00C2404E" w:rsidP="00C2404E">
      <w:pPr>
        <w:pStyle w:val="BodyText"/>
        <w:numPr>
          <w:ilvl w:val="0"/>
          <w:numId w:val="3"/>
        </w:numPr>
        <w:tabs>
          <w:tab w:val="left" w:pos="0"/>
        </w:tabs>
        <w:spacing w:after="0"/>
      </w:pPr>
      <w:r>
        <w:t>определения порядка восстановления информации в случае возникновения такой необходимости;</w:t>
      </w:r>
    </w:p>
    <w:p w14:paraId="4B586D57" w14:textId="77777777" w:rsidR="00C2404E" w:rsidRDefault="00C2404E" w:rsidP="00C2404E">
      <w:pPr>
        <w:pStyle w:val="BodyText"/>
        <w:numPr>
          <w:ilvl w:val="0"/>
          <w:numId w:val="3"/>
        </w:numPr>
        <w:tabs>
          <w:tab w:val="left" w:pos="0"/>
        </w:tabs>
      </w:pPr>
      <w:r>
        <w:lastRenderedPageBreak/>
        <w:t>упорядочения работы должностных лиц Исполнителя и Заказчика, связанной с резервным копированием и восстановлением информации.</w:t>
      </w:r>
    </w:p>
    <w:p w14:paraId="1A678F54" w14:textId="77777777" w:rsidR="00C2404E" w:rsidRDefault="00C2404E" w:rsidP="00C2404E">
      <w:pPr>
        <w:pStyle w:val="BodyText"/>
      </w:pPr>
      <w:r>
        <w:t xml:space="preserve">В настоящем документе регламентируются действия при выполнении следующих мероприятий: </w:t>
      </w:r>
    </w:p>
    <w:p w14:paraId="11F25280" w14:textId="77777777" w:rsidR="00C2404E" w:rsidRDefault="00C2404E" w:rsidP="00C2404E">
      <w:pPr>
        <w:pStyle w:val="BodyText"/>
        <w:numPr>
          <w:ilvl w:val="0"/>
          <w:numId w:val="4"/>
        </w:numPr>
        <w:tabs>
          <w:tab w:val="left" w:pos="0"/>
        </w:tabs>
        <w:spacing w:after="0"/>
      </w:pPr>
      <w:r>
        <w:t>резервное копирование;</w:t>
      </w:r>
    </w:p>
    <w:p w14:paraId="1853A8D5" w14:textId="77777777" w:rsidR="00C2404E" w:rsidRDefault="00C2404E" w:rsidP="00C2404E">
      <w:pPr>
        <w:pStyle w:val="BodyText"/>
        <w:numPr>
          <w:ilvl w:val="0"/>
          <w:numId w:val="4"/>
        </w:numPr>
        <w:tabs>
          <w:tab w:val="left" w:pos="0"/>
        </w:tabs>
        <w:spacing w:after="0"/>
      </w:pPr>
      <w:r>
        <w:t>контроль резервного копирования;</w:t>
      </w:r>
    </w:p>
    <w:p w14:paraId="5C80ACEC" w14:textId="77777777" w:rsidR="00C2404E" w:rsidRDefault="00C2404E" w:rsidP="00C2404E">
      <w:pPr>
        <w:pStyle w:val="BodyText"/>
        <w:numPr>
          <w:ilvl w:val="0"/>
          <w:numId w:val="4"/>
        </w:numPr>
        <w:tabs>
          <w:tab w:val="left" w:pos="0"/>
        </w:tabs>
        <w:spacing w:after="0"/>
      </w:pPr>
      <w:r>
        <w:t>хранение резервных копий;</w:t>
      </w:r>
    </w:p>
    <w:p w14:paraId="4F76C6C1" w14:textId="77777777" w:rsidR="00C2404E" w:rsidRDefault="00C2404E" w:rsidP="00C2404E">
      <w:pPr>
        <w:pStyle w:val="BodyText"/>
        <w:numPr>
          <w:ilvl w:val="0"/>
          <w:numId w:val="4"/>
        </w:numPr>
        <w:tabs>
          <w:tab w:val="left" w:pos="0"/>
        </w:tabs>
      </w:pPr>
      <w:r>
        <w:t>полное или частичное восстановление данных и приложений.</w:t>
      </w:r>
    </w:p>
    <w:p w14:paraId="1AB3BEF8" w14:textId="77777777" w:rsidR="00C2404E" w:rsidRDefault="00C2404E" w:rsidP="00C2404E">
      <w:pPr>
        <w:pStyle w:val="BodyText"/>
      </w:pPr>
      <w:r>
        <w:t xml:space="preserve">Резервному копированию подлежит информация следующих основных категорий: </w:t>
      </w:r>
    </w:p>
    <w:p w14:paraId="614D1024" w14:textId="77777777" w:rsidR="00C2404E" w:rsidRDefault="00C2404E" w:rsidP="00C2404E">
      <w:pPr>
        <w:pStyle w:val="BodyText"/>
        <w:numPr>
          <w:ilvl w:val="0"/>
          <w:numId w:val="5"/>
        </w:numPr>
        <w:tabs>
          <w:tab w:val="left" w:pos="0"/>
        </w:tabs>
        <w:spacing w:after="0"/>
      </w:pPr>
      <w:r>
        <w:t>персональные профили пользователей сети;</w:t>
      </w:r>
    </w:p>
    <w:p w14:paraId="64712924" w14:textId="77777777" w:rsidR="00C2404E" w:rsidRDefault="00C2404E" w:rsidP="00C2404E">
      <w:pPr>
        <w:pStyle w:val="BodyText"/>
        <w:numPr>
          <w:ilvl w:val="0"/>
          <w:numId w:val="5"/>
        </w:numPr>
        <w:tabs>
          <w:tab w:val="left" w:pos="0"/>
        </w:tabs>
        <w:spacing w:after="0"/>
      </w:pPr>
      <w:r>
        <w:t>информация автоматизированных систем, в т.ч. баз данных;</w:t>
      </w:r>
    </w:p>
    <w:p w14:paraId="2736881F" w14:textId="77777777" w:rsidR="00C2404E" w:rsidRDefault="00C2404E" w:rsidP="00C2404E">
      <w:pPr>
        <w:pStyle w:val="BodyText"/>
        <w:numPr>
          <w:ilvl w:val="0"/>
          <w:numId w:val="5"/>
        </w:numPr>
        <w:tabs>
          <w:tab w:val="left" w:pos="0"/>
        </w:tabs>
        <w:spacing w:after="0"/>
      </w:pPr>
      <w:r>
        <w:t>рабочие копии установочных компонент программного обеспечения рабочих станций;</w:t>
      </w:r>
    </w:p>
    <w:p w14:paraId="08687CB5" w14:textId="77777777" w:rsidR="00C2404E" w:rsidRDefault="00C2404E" w:rsidP="00C2404E">
      <w:pPr>
        <w:pStyle w:val="BodyText"/>
      </w:pPr>
      <w:r>
        <w:t xml:space="preserve">Машинным носителям информации, содержащим резервную копию, присваивается гриф конфиденциальности по наивысшему грифу содержащихся на них сведений в соответствии с «Перечнем сведений составляющих коммерческую тайну» Заказчика. </w:t>
      </w:r>
    </w:p>
    <w:p w14:paraId="2B84D1E5" w14:textId="77777777" w:rsidR="00C2404E" w:rsidRDefault="00C2404E" w:rsidP="00C2404E">
      <w:pPr>
        <w:pStyle w:val="Heading2"/>
      </w:pPr>
      <w:bookmarkStart w:id="1" w:name="%25D0%25BF%25D0%25BE%25D1%2580%25D1%258F"/>
      <w:bookmarkEnd w:id="1"/>
      <w:r>
        <w:t>3. Порядок резервного копирования</w:t>
      </w:r>
    </w:p>
    <w:p w14:paraId="21750321" w14:textId="77777777" w:rsidR="00C2404E" w:rsidRDefault="00C2404E" w:rsidP="00C2404E">
      <w:pPr>
        <w:pStyle w:val="BodyText"/>
      </w:pPr>
      <w:r>
        <w:t xml:space="preserve">Резервное копирование автоматизированных систем производится на основании следующих данных: </w:t>
      </w:r>
    </w:p>
    <w:p w14:paraId="2105C0AA" w14:textId="77777777" w:rsidR="00C2404E" w:rsidRDefault="00C2404E" w:rsidP="00C2404E">
      <w:pPr>
        <w:pStyle w:val="BodyText"/>
        <w:numPr>
          <w:ilvl w:val="0"/>
          <w:numId w:val="6"/>
        </w:numPr>
        <w:tabs>
          <w:tab w:val="left" w:pos="0"/>
        </w:tabs>
        <w:spacing w:after="0"/>
      </w:pPr>
      <w:r>
        <w:t>состав и объем копируемых данных, периодичность проведения резервного копирования (из Перечня резервируемых данных - по форме, приведенной в Приложении №1);</w:t>
      </w:r>
    </w:p>
    <w:p w14:paraId="74BCEBA8" w14:textId="77777777" w:rsidR="00C2404E" w:rsidRDefault="00C2404E" w:rsidP="00C2404E">
      <w:pPr>
        <w:pStyle w:val="BodyText"/>
        <w:numPr>
          <w:ilvl w:val="0"/>
          <w:numId w:val="6"/>
        </w:numPr>
        <w:tabs>
          <w:tab w:val="left" w:pos="0"/>
        </w:tabs>
        <w:spacing w:after="0"/>
      </w:pPr>
      <w:r>
        <w:t>максимальный срок хранения резервных копий - 1 месяц;</w:t>
      </w:r>
    </w:p>
    <w:p w14:paraId="0EA98B30" w14:textId="77777777" w:rsidR="00C2404E" w:rsidRDefault="00C2404E" w:rsidP="00C2404E">
      <w:pPr>
        <w:pStyle w:val="BodyText"/>
        <w:numPr>
          <w:ilvl w:val="0"/>
          <w:numId w:val="6"/>
        </w:numPr>
        <w:tabs>
          <w:tab w:val="left" w:pos="0"/>
        </w:tabs>
        <w:spacing w:after="0"/>
      </w:pPr>
      <w:r>
        <w:t>хранение 3-х следующих архивов;</w:t>
      </w:r>
    </w:p>
    <w:p w14:paraId="194D6D5B" w14:textId="77777777" w:rsidR="00C2404E" w:rsidRDefault="00C2404E" w:rsidP="00C2404E">
      <w:pPr>
        <w:pStyle w:val="BodyText"/>
        <w:numPr>
          <w:ilvl w:val="0"/>
          <w:numId w:val="6"/>
        </w:numPr>
        <w:tabs>
          <w:tab w:val="left" w:pos="0"/>
        </w:tabs>
        <w:spacing w:after="0"/>
      </w:pPr>
      <w:r>
        <w:t>архив на 1-е число текущего месяца;</w:t>
      </w:r>
    </w:p>
    <w:p w14:paraId="4A690962" w14:textId="77777777" w:rsidR="00C2404E" w:rsidRDefault="00C2404E" w:rsidP="00C2404E">
      <w:pPr>
        <w:pStyle w:val="BodyText"/>
        <w:numPr>
          <w:ilvl w:val="0"/>
          <w:numId w:val="6"/>
        </w:numPr>
        <w:tabs>
          <w:tab w:val="left" w:pos="0"/>
        </w:tabs>
        <w:spacing w:after="0"/>
      </w:pPr>
      <w:r>
        <w:t>архив среда-четверг, либо пятница-суббота текущей недели;</w:t>
      </w:r>
    </w:p>
    <w:p w14:paraId="3A99DFD3" w14:textId="77777777" w:rsidR="00C2404E" w:rsidRDefault="00C2404E" w:rsidP="00C2404E">
      <w:pPr>
        <w:pStyle w:val="BodyText"/>
        <w:numPr>
          <w:ilvl w:val="0"/>
          <w:numId w:val="6"/>
        </w:numPr>
        <w:tabs>
          <w:tab w:val="left" w:pos="0"/>
        </w:tabs>
      </w:pPr>
      <w:r>
        <w:t>архив сделанный в текущую ночь.</w:t>
      </w:r>
    </w:p>
    <w:p w14:paraId="3C2C78B8" w14:textId="77777777" w:rsidR="00C2404E" w:rsidRDefault="00C2404E" w:rsidP="00C2404E">
      <w:pPr>
        <w:pStyle w:val="BodyText"/>
      </w:pPr>
      <w:r>
        <w:t xml:space="preserve">Система резервного копирования должна обеспечивать производительность, достаточную для сохранения информации, указанной в Перечне (Приложение №1), в установленные сроки и с заданной периодичностью. Методика проведения резервного копирования описана в Приложении №3. </w:t>
      </w:r>
    </w:p>
    <w:p w14:paraId="1120073C" w14:textId="77777777" w:rsidR="00C2404E" w:rsidRDefault="00C2404E" w:rsidP="00C2404E">
      <w:pPr>
        <w:pStyle w:val="BodyText"/>
      </w:pPr>
      <w:r>
        <w:t xml:space="preserve">О выявленных попытках несанкционированного доступа к резервируемой информации, а также иных нарушениях информационной безопасности произошедших в процессе резервного копирования, сообщается в Службу безопасности Заказчика служебной запиской в течение рабочего дня после обнаружения указанного события. Ответственным является администратор резервного копирования (согласно Приложению №1). </w:t>
      </w:r>
    </w:p>
    <w:p w14:paraId="14C23ADA" w14:textId="77777777" w:rsidR="00C2404E" w:rsidRDefault="00C2404E" w:rsidP="00C2404E">
      <w:pPr>
        <w:pStyle w:val="Heading2"/>
      </w:pPr>
      <w:bookmarkStart w:id="2" w:name="%25D0%25BA%25D0%25BE%25D0%25BD%25D1%2582"/>
      <w:bookmarkEnd w:id="2"/>
      <w:r>
        <w:lastRenderedPageBreak/>
        <w:t>4. Контроль результатов резервного копирования</w:t>
      </w:r>
    </w:p>
    <w:p w14:paraId="7A587D8E" w14:textId="77777777" w:rsidR="00C2404E" w:rsidRDefault="00C2404E" w:rsidP="00C2404E">
      <w:pPr>
        <w:pStyle w:val="BodyText"/>
      </w:pPr>
      <w:r>
        <w:t xml:space="preserve">Контроль результатов всех процедур резервного копирования осуществляется ответственными должностными лицами, указанными в Приложении №2, в срок до 17 часов рабочего дня, следующего за установленной датой выполнения этих процедур. </w:t>
      </w:r>
    </w:p>
    <w:p w14:paraId="2FD5B1EA" w14:textId="77777777" w:rsidR="00C2404E" w:rsidRDefault="00C2404E" w:rsidP="00C2404E">
      <w:pPr>
        <w:pStyle w:val="BodyText"/>
      </w:pPr>
      <w:r>
        <w:t xml:space="preserve">В случае обнаружения ошибки лицо, ответственное за контроль результатов, сообщает в ГТП до 18 часов текущего рабочего дня. </w:t>
      </w:r>
    </w:p>
    <w:p w14:paraId="34172544" w14:textId="77777777" w:rsidR="00C2404E" w:rsidRDefault="00C2404E" w:rsidP="00C2404E">
      <w:pPr>
        <w:pStyle w:val="BodyText"/>
      </w:pPr>
      <w:r>
        <w:t xml:space="preserve">На протяжении периода времени, когда система резервного копирования находится в аварийном состоянии, должно осуществляться ежедневное копирование информации, подлежащей резервированию, с использованием средств файловых систем серверов, располагающих необходимыми объемами дискового пространства для ее хранения. </w:t>
      </w:r>
    </w:p>
    <w:p w14:paraId="76FD7193" w14:textId="77777777" w:rsidR="00C2404E" w:rsidRDefault="00C2404E" w:rsidP="00C2404E">
      <w:pPr>
        <w:pStyle w:val="Heading2"/>
      </w:pPr>
      <w:bookmarkStart w:id="3" w:name="%25D1%2580%25D0%25BE%25D1%2582%25D0%25B0"/>
      <w:bookmarkEnd w:id="3"/>
      <w:r>
        <w:t>5. Ротация носителей резервной копии</w:t>
      </w:r>
    </w:p>
    <w:p w14:paraId="73FB065E" w14:textId="77777777" w:rsidR="00C2404E" w:rsidRDefault="00C2404E" w:rsidP="00C2404E">
      <w:pPr>
        <w:pStyle w:val="BodyText"/>
      </w:pPr>
      <w:r>
        <w:t xml:space="preserve">Система резервного копирования должна обеспечивать возможность периодической замены (выгрузки) резервных носителей без потерь информации на них, а также обеспечивать восстановление текущей информации автоматизированных систем в случае отказа любого из устройств резервного копирования. В случае необходимости замены испорченных носителей информации новыми, Исполнитель заблаговременно за 10 рабочих дней согласовывает с Заказчиком спецификации новых носителей информации. </w:t>
      </w:r>
    </w:p>
    <w:p w14:paraId="003028A2" w14:textId="77777777" w:rsidR="00C2404E" w:rsidRDefault="00C2404E" w:rsidP="00C2404E">
      <w:pPr>
        <w:pStyle w:val="BodyText"/>
      </w:pPr>
      <w:r>
        <w:t xml:space="preserve">Все процедуры по загрузке, выгрузке носителей из системы резервного копирования, а также перемещение их в Службу безопасности и обратно, осуществляются администратором резервного копирования по запросу и в присутствии ответственного сотрудника Службы безопасности Заказчика (согласно Приложению №2). </w:t>
      </w:r>
    </w:p>
    <w:p w14:paraId="5293724B" w14:textId="77777777" w:rsidR="00C2404E" w:rsidRDefault="00C2404E" w:rsidP="00C2404E">
      <w:pPr>
        <w:pStyle w:val="BodyText"/>
      </w:pPr>
      <w:r>
        <w:t xml:space="preserve">В качестве новых носителей допускается повторно использовать те, у которых срок хранения содержащейся информации истек. </w:t>
      </w:r>
    </w:p>
    <w:p w14:paraId="7D947DDC" w14:textId="77777777" w:rsidR="00C2404E" w:rsidRDefault="00C2404E" w:rsidP="00C2404E">
      <w:pPr>
        <w:pStyle w:val="BodyText"/>
      </w:pPr>
      <w:r>
        <w:t xml:space="preserve">Конфиденциальная информация с носителей, которые перестают использоваться в системе резервного копирования, должна стираться с использованием программного обеспечения PGP. </w:t>
      </w:r>
    </w:p>
    <w:p w14:paraId="44AD6E9C" w14:textId="77777777" w:rsidR="00C2404E" w:rsidRDefault="00C2404E" w:rsidP="00C2404E">
      <w:pPr>
        <w:pStyle w:val="Heading2"/>
      </w:pPr>
      <w:bookmarkStart w:id="4" w:name="%25D0%25B2%25D0%25BE%25D1%2581%25D1%2581"/>
      <w:bookmarkEnd w:id="4"/>
      <w:r>
        <w:t>6. Восстановление информации из резервных копий</w:t>
      </w:r>
    </w:p>
    <w:p w14:paraId="4C794318" w14:textId="77777777" w:rsidR="00C2404E" w:rsidRDefault="00C2404E" w:rsidP="00C2404E">
      <w:pPr>
        <w:pStyle w:val="BodyText"/>
      </w:pPr>
      <w:r>
        <w:t xml:space="preserve">В случае необходимости восстановление данных из резервных копий производится на основании Заявки владельца информации согласованной с Ответственным за информационные ресурсы Заказчика. </w:t>
      </w:r>
    </w:p>
    <w:p w14:paraId="630FC330" w14:textId="77777777" w:rsidR="00C2404E" w:rsidRDefault="00C2404E" w:rsidP="00C2404E">
      <w:pPr>
        <w:pStyle w:val="BodyText"/>
      </w:pPr>
      <w:r>
        <w:t xml:space="preserve">Процедура восстановления информации из резервной копии осуществляется в соответствии с методикой восстановления информации (Приложение №4). </w:t>
      </w:r>
    </w:p>
    <w:p w14:paraId="6EBFEF9C" w14:textId="77777777" w:rsidR="00C2404E" w:rsidRDefault="00C2404E" w:rsidP="00C2404E">
      <w:pPr>
        <w:pStyle w:val="BodyText"/>
      </w:pPr>
      <w:r>
        <w:t xml:space="preserve">После поступления заявки, восстановление данных осуществляется в максимально сжатые сроки, ограниченные техническими возможностями системы, но не более одного рабочего дня. </w:t>
      </w:r>
    </w:p>
    <w:p w14:paraId="602A7AB5" w14:textId="77777777" w:rsidR="00724A68" w:rsidRDefault="00724A68" w:rsidP="00724A68">
      <w:pPr>
        <w:pStyle w:val="Heading2"/>
      </w:pPr>
      <w:bookmarkStart w:id="5" w:name="%25D0%25BF%25D1%2580%25D0%25B8%25D0%25BB"/>
      <w:r>
        <w:lastRenderedPageBreak/>
        <w:t>Приложение №1 - Перечень резервируемой информации</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752"/>
        <w:gridCol w:w="3360"/>
        <w:gridCol w:w="5526"/>
      </w:tblGrid>
      <w:tr w:rsidR="00724A68" w14:paraId="3B221C77" w14:textId="77777777" w:rsidTr="00703C0A">
        <w:trPr>
          <w:tblHeader/>
        </w:trPr>
        <w:tc>
          <w:tcPr>
            <w:tcW w:w="752" w:type="dxa"/>
            <w:shd w:val="clear" w:color="auto" w:fill="auto"/>
            <w:vAlign w:val="center"/>
          </w:tcPr>
          <w:p w14:paraId="58B24E24" w14:textId="77777777" w:rsidR="00724A68" w:rsidRDefault="00724A68" w:rsidP="001B4993">
            <w:pPr>
              <w:pStyle w:val="a0"/>
            </w:pPr>
            <w:r>
              <w:rPr>
                <w:rFonts w:eastAsia="Liberation Serif" w:cs="Liberation Serif"/>
              </w:rPr>
              <w:t xml:space="preserve">№ </w:t>
            </w:r>
            <w:r>
              <w:t xml:space="preserve">п/п </w:t>
            </w:r>
          </w:p>
        </w:tc>
        <w:tc>
          <w:tcPr>
            <w:tcW w:w="3360" w:type="dxa"/>
            <w:shd w:val="clear" w:color="auto" w:fill="auto"/>
            <w:vAlign w:val="center"/>
          </w:tcPr>
          <w:p w14:paraId="4B6C937E" w14:textId="77777777" w:rsidR="00724A68" w:rsidRDefault="00724A68" w:rsidP="001B4993">
            <w:pPr>
              <w:pStyle w:val="a0"/>
            </w:pPr>
            <w:r>
              <w:t xml:space="preserve">Адрес хранения информации </w:t>
            </w:r>
          </w:p>
        </w:tc>
        <w:tc>
          <w:tcPr>
            <w:tcW w:w="5526" w:type="dxa"/>
            <w:shd w:val="clear" w:color="auto" w:fill="auto"/>
            <w:vAlign w:val="center"/>
          </w:tcPr>
          <w:p w14:paraId="1F632F81" w14:textId="77777777" w:rsidR="00724A68" w:rsidRDefault="00724A68" w:rsidP="001B4993">
            <w:pPr>
              <w:pStyle w:val="a0"/>
            </w:pPr>
            <w:r>
              <w:t xml:space="preserve">Примечание </w:t>
            </w:r>
          </w:p>
        </w:tc>
      </w:tr>
      <w:tr w:rsidR="00724A68" w:rsidRPr="00D5261B" w14:paraId="41F94043" w14:textId="77777777" w:rsidTr="00703C0A">
        <w:tc>
          <w:tcPr>
            <w:tcW w:w="752" w:type="dxa"/>
            <w:shd w:val="clear" w:color="auto" w:fill="auto"/>
            <w:vAlign w:val="center"/>
          </w:tcPr>
          <w:p w14:paraId="26AAC857" w14:textId="77777777" w:rsidR="00724A68" w:rsidRDefault="00724A68" w:rsidP="001B4993">
            <w:pPr>
              <w:pStyle w:val="a"/>
            </w:pPr>
            <w:r>
              <w:t xml:space="preserve">1 </w:t>
            </w:r>
          </w:p>
        </w:tc>
        <w:tc>
          <w:tcPr>
            <w:tcW w:w="3360" w:type="dxa"/>
            <w:shd w:val="clear" w:color="auto" w:fill="auto"/>
            <w:vAlign w:val="center"/>
          </w:tcPr>
          <w:p w14:paraId="00D4738C" w14:textId="0207EB12" w:rsidR="00724A68" w:rsidRPr="00D5261B" w:rsidRDefault="00D5261B" w:rsidP="001B4993">
            <w:pPr>
              <w:pStyle w:val="a"/>
              <w:rPr>
                <w:lang w:val="en-US"/>
              </w:rPr>
            </w:pPr>
            <w:hyperlink r:id="rId6" w:history="1">
              <w:r w:rsidRPr="00D5261B">
                <w:rPr>
                  <w:rStyle w:val="Hyperlink"/>
                  <w:lang w:val="en-US"/>
                </w:rPr>
                <w:t>\</w:t>
              </w:r>
              <w:r w:rsidRPr="0029360A">
                <w:rPr>
                  <w:rStyle w:val="Hyperlink"/>
                  <w:lang w:val="en-US"/>
                </w:rPr>
                <w:t>\Microsoft</w:t>
              </w:r>
            </w:hyperlink>
            <w:r>
              <w:rPr>
                <w:lang w:val="en-US"/>
              </w:rPr>
              <w:t xml:space="preserve"> </w:t>
            </w:r>
            <w:proofErr w:type="spellStart"/>
            <w:r>
              <w:rPr>
                <w:lang w:val="en-US"/>
              </w:rPr>
              <w:t>Sql</w:t>
            </w:r>
            <w:proofErr w:type="spellEnd"/>
            <w:r>
              <w:rPr>
                <w:lang w:val="en-US"/>
              </w:rPr>
              <w:t xml:space="preserve"> S</w:t>
            </w:r>
            <w:r w:rsidR="00724A68" w:rsidRPr="00D5261B">
              <w:rPr>
                <w:lang w:val="en-US"/>
              </w:rPr>
              <w:t>erver\</w:t>
            </w:r>
            <w:r>
              <w:rPr>
                <w:lang w:val="en-US"/>
              </w:rPr>
              <w:t>MSSQL</w:t>
            </w:r>
            <w:r w:rsidRPr="00D5261B">
              <w:rPr>
                <w:lang w:val="en-US"/>
              </w:rPr>
              <w:t>\</w:t>
            </w:r>
            <w:r>
              <w:rPr>
                <w:lang w:val="en-US"/>
              </w:rPr>
              <w:t>Data</w:t>
            </w:r>
          </w:p>
        </w:tc>
        <w:tc>
          <w:tcPr>
            <w:tcW w:w="5526" w:type="dxa"/>
            <w:shd w:val="clear" w:color="auto" w:fill="auto"/>
            <w:vAlign w:val="center"/>
          </w:tcPr>
          <w:p w14:paraId="71616F57" w14:textId="04C80A2A" w:rsidR="00724A68" w:rsidRPr="00D5261B" w:rsidRDefault="00D5261B" w:rsidP="001B4993">
            <w:pPr>
              <w:pStyle w:val="a"/>
            </w:pPr>
            <w:r>
              <w:t>База данных</w:t>
            </w:r>
          </w:p>
        </w:tc>
      </w:tr>
      <w:tr w:rsidR="00D5261B" w:rsidRPr="00D5261B" w14:paraId="59281455" w14:textId="77777777" w:rsidTr="00703C0A">
        <w:trPr>
          <w:gridAfter w:val="1"/>
          <w:wAfter w:w="5526" w:type="dxa"/>
        </w:trPr>
        <w:tc>
          <w:tcPr>
            <w:tcW w:w="752" w:type="dxa"/>
            <w:shd w:val="clear" w:color="auto" w:fill="auto"/>
            <w:vAlign w:val="center"/>
          </w:tcPr>
          <w:p w14:paraId="12231FB0" w14:textId="2423D4F4" w:rsidR="00D5261B" w:rsidRPr="00D5261B" w:rsidRDefault="00D5261B" w:rsidP="001B4993">
            <w:pPr>
              <w:pStyle w:val="a"/>
              <w:rPr>
                <w:lang w:val="en-US"/>
              </w:rPr>
            </w:pPr>
          </w:p>
        </w:tc>
        <w:tc>
          <w:tcPr>
            <w:tcW w:w="3360" w:type="dxa"/>
            <w:shd w:val="clear" w:color="auto" w:fill="auto"/>
            <w:vAlign w:val="center"/>
          </w:tcPr>
          <w:p w14:paraId="68835224" w14:textId="1A9EE29C" w:rsidR="00D5261B" w:rsidRPr="00D5261B" w:rsidRDefault="00D5261B" w:rsidP="001B4993">
            <w:pPr>
              <w:pStyle w:val="a"/>
              <w:rPr>
                <w:lang w:val="en-US"/>
              </w:rPr>
            </w:pPr>
          </w:p>
        </w:tc>
      </w:tr>
      <w:tr w:rsidR="00D5261B" w:rsidRPr="00D5261B" w14:paraId="0C558F8A" w14:textId="77777777" w:rsidTr="001B4993">
        <w:trPr>
          <w:gridAfter w:val="2"/>
          <w:wAfter w:w="8886" w:type="dxa"/>
        </w:trPr>
        <w:tc>
          <w:tcPr>
            <w:tcW w:w="752" w:type="dxa"/>
            <w:shd w:val="clear" w:color="auto" w:fill="auto"/>
            <w:vAlign w:val="center"/>
          </w:tcPr>
          <w:p w14:paraId="71A0E01C" w14:textId="26CF4CAB" w:rsidR="00D5261B" w:rsidRPr="00D5261B" w:rsidRDefault="00D5261B" w:rsidP="001B4993">
            <w:pPr>
              <w:pStyle w:val="a"/>
              <w:rPr>
                <w:lang w:val="en-US"/>
              </w:rPr>
            </w:pPr>
          </w:p>
        </w:tc>
      </w:tr>
    </w:tbl>
    <w:p w14:paraId="49704D44" w14:textId="77777777" w:rsidR="00724A68" w:rsidRDefault="00724A68" w:rsidP="00724A68">
      <w:pPr>
        <w:pStyle w:val="Heading2"/>
      </w:pPr>
      <w:r>
        <w:t>Приложение №2 - Перечень лиц ответственных за резервное копирование</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667"/>
        <w:gridCol w:w="6640"/>
        <w:gridCol w:w="2331"/>
      </w:tblGrid>
      <w:tr w:rsidR="00724A68" w14:paraId="3F0493C4" w14:textId="77777777" w:rsidTr="001B4993">
        <w:trPr>
          <w:tblHeader/>
        </w:trPr>
        <w:tc>
          <w:tcPr>
            <w:tcW w:w="667" w:type="dxa"/>
            <w:shd w:val="clear" w:color="auto" w:fill="auto"/>
            <w:vAlign w:val="center"/>
          </w:tcPr>
          <w:p w14:paraId="74510304" w14:textId="77777777" w:rsidR="00724A68" w:rsidRDefault="00724A68" w:rsidP="001B4993">
            <w:pPr>
              <w:pStyle w:val="a0"/>
            </w:pPr>
            <w:r>
              <w:rPr>
                <w:rFonts w:eastAsia="Liberation Serif" w:cs="Liberation Serif"/>
              </w:rPr>
              <w:t xml:space="preserve">№ </w:t>
            </w:r>
            <w:r>
              <w:t xml:space="preserve">п/п </w:t>
            </w:r>
          </w:p>
        </w:tc>
        <w:tc>
          <w:tcPr>
            <w:tcW w:w="6640" w:type="dxa"/>
            <w:shd w:val="clear" w:color="auto" w:fill="auto"/>
            <w:vAlign w:val="center"/>
          </w:tcPr>
          <w:p w14:paraId="62ED9E12" w14:textId="77777777" w:rsidR="00724A68" w:rsidRDefault="00724A68" w:rsidP="001B4993">
            <w:pPr>
              <w:pStyle w:val="a0"/>
            </w:pPr>
            <w:r>
              <w:t xml:space="preserve">Выполняемая роль </w:t>
            </w:r>
          </w:p>
        </w:tc>
        <w:tc>
          <w:tcPr>
            <w:tcW w:w="2331" w:type="dxa"/>
            <w:shd w:val="clear" w:color="auto" w:fill="auto"/>
            <w:vAlign w:val="center"/>
          </w:tcPr>
          <w:p w14:paraId="50D60EDA" w14:textId="77777777" w:rsidR="00724A68" w:rsidRDefault="00724A68" w:rsidP="001B4993">
            <w:pPr>
              <w:pStyle w:val="a0"/>
            </w:pPr>
            <w:r>
              <w:t xml:space="preserve">ФИО ответственного сотрудника </w:t>
            </w:r>
          </w:p>
        </w:tc>
      </w:tr>
      <w:tr w:rsidR="00724A68" w14:paraId="2825E541" w14:textId="77777777" w:rsidTr="001B4993">
        <w:tc>
          <w:tcPr>
            <w:tcW w:w="667" w:type="dxa"/>
            <w:shd w:val="clear" w:color="auto" w:fill="auto"/>
            <w:vAlign w:val="center"/>
          </w:tcPr>
          <w:p w14:paraId="2DA5A67D" w14:textId="77777777" w:rsidR="00724A68" w:rsidRDefault="00724A68" w:rsidP="001B4993">
            <w:pPr>
              <w:pStyle w:val="a"/>
            </w:pPr>
            <w:r>
              <w:t xml:space="preserve">1 </w:t>
            </w:r>
          </w:p>
        </w:tc>
        <w:tc>
          <w:tcPr>
            <w:tcW w:w="6640" w:type="dxa"/>
            <w:shd w:val="clear" w:color="auto" w:fill="auto"/>
            <w:vAlign w:val="center"/>
          </w:tcPr>
          <w:p w14:paraId="46F0CC8C" w14:textId="77777777" w:rsidR="00724A68" w:rsidRDefault="00724A68" w:rsidP="001B4993">
            <w:pPr>
              <w:pStyle w:val="a"/>
            </w:pPr>
            <w:r>
              <w:t xml:space="preserve">Первоначальная настройка системы резервного копирования (создание медиа-сетов, расписаний, </w:t>
            </w:r>
            <w:proofErr w:type="spellStart"/>
            <w:r>
              <w:t>selection</w:t>
            </w:r>
            <w:proofErr w:type="spellEnd"/>
            <w:r>
              <w:t xml:space="preserve"> </w:t>
            </w:r>
            <w:proofErr w:type="spellStart"/>
            <w:r>
              <w:t>lists</w:t>
            </w:r>
            <w:proofErr w:type="spellEnd"/>
            <w:r>
              <w:t xml:space="preserve">, оповещений). Запуск в промышленную эксплуатацию системы резервного копирования. </w:t>
            </w:r>
          </w:p>
        </w:tc>
        <w:tc>
          <w:tcPr>
            <w:tcW w:w="2331" w:type="dxa"/>
            <w:shd w:val="clear" w:color="auto" w:fill="auto"/>
            <w:vAlign w:val="center"/>
          </w:tcPr>
          <w:p w14:paraId="1EE3E71C" w14:textId="0B585EA5" w:rsidR="00724A68" w:rsidRPr="00FD3CED" w:rsidRDefault="00FD3CED" w:rsidP="001B4993">
            <w:pPr>
              <w:pStyle w:val="a"/>
              <w:snapToGrid w:val="0"/>
              <w:rPr>
                <w:rFonts w:ascii="Times New Roman" w:hAnsi="Times New Roman" w:cs="Times New Roman"/>
              </w:rPr>
            </w:pPr>
            <w:r w:rsidRPr="00FD3CED">
              <w:rPr>
                <w:rFonts w:ascii="Times New Roman" w:hAnsi="Times New Roman" w:cs="Times New Roman"/>
              </w:rPr>
              <w:t>Смирнов</w:t>
            </w:r>
            <w:r>
              <w:rPr>
                <w:rFonts w:ascii="Times New Roman" w:hAnsi="Times New Roman" w:cs="Times New Roman"/>
              </w:rPr>
              <w:t>.</w:t>
            </w:r>
            <w:r w:rsidRPr="00FD3CED">
              <w:rPr>
                <w:rFonts w:ascii="Times New Roman" w:hAnsi="Times New Roman" w:cs="Times New Roman"/>
              </w:rPr>
              <w:t xml:space="preserve"> Р</w:t>
            </w:r>
          </w:p>
        </w:tc>
      </w:tr>
      <w:tr w:rsidR="00724A68" w14:paraId="34ADCAB2" w14:textId="77777777" w:rsidTr="001B4993">
        <w:tc>
          <w:tcPr>
            <w:tcW w:w="667" w:type="dxa"/>
            <w:shd w:val="clear" w:color="auto" w:fill="auto"/>
            <w:vAlign w:val="center"/>
          </w:tcPr>
          <w:p w14:paraId="50D8BE69" w14:textId="77777777" w:rsidR="00724A68" w:rsidRDefault="00724A68" w:rsidP="001B4993">
            <w:pPr>
              <w:pStyle w:val="a"/>
            </w:pPr>
            <w:r>
              <w:t xml:space="preserve">2 </w:t>
            </w:r>
          </w:p>
        </w:tc>
        <w:tc>
          <w:tcPr>
            <w:tcW w:w="6640" w:type="dxa"/>
            <w:shd w:val="clear" w:color="auto" w:fill="auto"/>
            <w:vAlign w:val="center"/>
          </w:tcPr>
          <w:p w14:paraId="260DAD25" w14:textId="77777777" w:rsidR="00724A68" w:rsidRDefault="00724A68" w:rsidP="001B4993">
            <w:pPr>
              <w:pStyle w:val="a"/>
            </w:pPr>
            <w:r>
              <w:t xml:space="preserve">Внесение существенных изменений в настройку системы резервного копирования. </w:t>
            </w:r>
          </w:p>
        </w:tc>
        <w:tc>
          <w:tcPr>
            <w:tcW w:w="2331" w:type="dxa"/>
            <w:shd w:val="clear" w:color="auto" w:fill="auto"/>
            <w:vAlign w:val="center"/>
          </w:tcPr>
          <w:p w14:paraId="75B8269A" w14:textId="5FF66A49" w:rsidR="00724A68" w:rsidRPr="00FD3CED" w:rsidRDefault="00FD3CED" w:rsidP="001B4993">
            <w:pPr>
              <w:pStyle w:val="a"/>
              <w:snapToGrid w:val="0"/>
              <w:rPr>
                <w:rFonts w:ascii="Times New Roman" w:hAnsi="Times New Roman" w:cs="Times New Roman"/>
              </w:rPr>
            </w:pPr>
            <w:r>
              <w:rPr>
                <w:rFonts w:ascii="Times New Roman" w:hAnsi="Times New Roman" w:cs="Times New Roman"/>
              </w:rPr>
              <w:t>Волков. С</w:t>
            </w:r>
          </w:p>
        </w:tc>
      </w:tr>
      <w:tr w:rsidR="00724A68" w14:paraId="6BF887A1" w14:textId="77777777" w:rsidTr="001B4993">
        <w:tc>
          <w:tcPr>
            <w:tcW w:w="667" w:type="dxa"/>
            <w:shd w:val="clear" w:color="auto" w:fill="auto"/>
            <w:vAlign w:val="center"/>
          </w:tcPr>
          <w:p w14:paraId="0A45E61C" w14:textId="77777777" w:rsidR="00724A68" w:rsidRDefault="00724A68" w:rsidP="001B4993">
            <w:pPr>
              <w:pStyle w:val="a"/>
            </w:pPr>
            <w:r>
              <w:t xml:space="preserve">3 </w:t>
            </w:r>
          </w:p>
        </w:tc>
        <w:tc>
          <w:tcPr>
            <w:tcW w:w="6640" w:type="dxa"/>
            <w:shd w:val="clear" w:color="auto" w:fill="auto"/>
            <w:vAlign w:val="center"/>
          </w:tcPr>
          <w:p w14:paraId="369972AD" w14:textId="77777777" w:rsidR="00724A68" w:rsidRDefault="00724A68" w:rsidP="001B4993">
            <w:pPr>
              <w:pStyle w:val="a"/>
            </w:pPr>
            <w:r>
              <w:t xml:space="preserve">Анализ логов резервного копирования, отслеживание необходимости изменений настроек резервного копирования, обеспечение </w:t>
            </w:r>
            <w:proofErr w:type="spellStart"/>
            <w:r>
              <w:t>ротирования</w:t>
            </w:r>
            <w:proofErr w:type="spellEnd"/>
            <w:r>
              <w:t xml:space="preserve"> носителей. </w:t>
            </w:r>
          </w:p>
        </w:tc>
        <w:tc>
          <w:tcPr>
            <w:tcW w:w="2331" w:type="dxa"/>
            <w:shd w:val="clear" w:color="auto" w:fill="auto"/>
            <w:vAlign w:val="center"/>
          </w:tcPr>
          <w:p w14:paraId="37D11AA9" w14:textId="7C40E0A1" w:rsidR="00724A68" w:rsidRPr="00FD3CED" w:rsidRDefault="00FD3CED" w:rsidP="001B4993">
            <w:pPr>
              <w:pStyle w:val="a"/>
              <w:snapToGrid w:val="0"/>
              <w:rPr>
                <w:rFonts w:ascii="Times New Roman" w:hAnsi="Times New Roman" w:cs="Times New Roman"/>
              </w:rPr>
            </w:pPr>
            <w:r>
              <w:rPr>
                <w:rFonts w:ascii="Times New Roman" w:hAnsi="Times New Roman" w:cs="Times New Roman"/>
              </w:rPr>
              <w:t>Козлов. Д</w:t>
            </w:r>
          </w:p>
        </w:tc>
      </w:tr>
      <w:tr w:rsidR="00724A68" w14:paraId="3A3CDB7D" w14:textId="77777777" w:rsidTr="001B4993">
        <w:tc>
          <w:tcPr>
            <w:tcW w:w="667" w:type="dxa"/>
            <w:shd w:val="clear" w:color="auto" w:fill="auto"/>
            <w:vAlign w:val="center"/>
          </w:tcPr>
          <w:p w14:paraId="38781B35" w14:textId="77777777" w:rsidR="00724A68" w:rsidRDefault="00724A68" w:rsidP="001B4993">
            <w:pPr>
              <w:pStyle w:val="a"/>
            </w:pPr>
            <w:r>
              <w:t xml:space="preserve">4 </w:t>
            </w:r>
          </w:p>
        </w:tc>
        <w:tc>
          <w:tcPr>
            <w:tcW w:w="6640" w:type="dxa"/>
            <w:shd w:val="clear" w:color="auto" w:fill="auto"/>
            <w:vAlign w:val="center"/>
          </w:tcPr>
          <w:p w14:paraId="72B8937F" w14:textId="77777777" w:rsidR="00724A68" w:rsidRDefault="00724A68" w:rsidP="001B4993">
            <w:pPr>
              <w:pStyle w:val="a"/>
            </w:pPr>
            <w:proofErr w:type="spellStart"/>
            <w:r>
              <w:t>Ротирование</w:t>
            </w:r>
            <w:proofErr w:type="spellEnd"/>
            <w:r>
              <w:t xml:space="preserve"> носителей, проверка корректности резервной копии, обеспечения хранения резервной копии вне офиса на случай катастрофы. </w:t>
            </w:r>
          </w:p>
        </w:tc>
        <w:tc>
          <w:tcPr>
            <w:tcW w:w="2331" w:type="dxa"/>
            <w:shd w:val="clear" w:color="auto" w:fill="auto"/>
            <w:vAlign w:val="center"/>
          </w:tcPr>
          <w:p w14:paraId="2DFF67C6" w14:textId="1FD33ABB" w:rsidR="00724A68" w:rsidRPr="00FD3CED" w:rsidRDefault="00FD3CED" w:rsidP="001B4993">
            <w:pPr>
              <w:pStyle w:val="a"/>
              <w:snapToGrid w:val="0"/>
              <w:rPr>
                <w:rFonts w:ascii="Times New Roman" w:hAnsi="Times New Roman" w:cs="Times New Roman"/>
              </w:rPr>
            </w:pPr>
            <w:r>
              <w:rPr>
                <w:rFonts w:ascii="Times New Roman" w:hAnsi="Times New Roman" w:cs="Times New Roman"/>
              </w:rPr>
              <w:t>Тараторин. Е</w:t>
            </w:r>
          </w:p>
        </w:tc>
      </w:tr>
    </w:tbl>
    <w:p w14:paraId="4BBD2BF7" w14:textId="77777777" w:rsidR="00724A68" w:rsidRDefault="00724A68" w:rsidP="00724A68">
      <w:pPr>
        <w:pStyle w:val="Heading2"/>
      </w:pPr>
      <w:r>
        <w:t>Приложение №3 - Методика резервного копирования</w:t>
      </w:r>
    </w:p>
    <w:p w14:paraId="334C8F9A" w14:textId="6E8A9D6A" w:rsidR="00724A68" w:rsidRDefault="00724A68" w:rsidP="00724A68">
      <w:pPr>
        <w:pStyle w:val="BodyText"/>
      </w:pPr>
      <w:r>
        <w:t xml:space="preserve">Для организации системы резервного копирования используется программное обеспечение (далее - ПО) фирмы </w:t>
      </w:r>
      <w:r w:rsidR="00306C21">
        <w:t xml:space="preserve">ОАО </w:t>
      </w:r>
      <w:r w:rsidR="00306C21" w:rsidRPr="00306C21">
        <w:t>“</w:t>
      </w:r>
      <w:r w:rsidR="00306C21">
        <w:t>Библиотека</w:t>
      </w:r>
      <w:r w:rsidR="00306C21" w:rsidRPr="00306C21">
        <w:t xml:space="preserve">” </w:t>
      </w:r>
      <w:r>
        <w:t>версии</w:t>
      </w:r>
      <w:r w:rsidR="00306C21" w:rsidRPr="00306C21">
        <w:t xml:space="preserve"> </w:t>
      </w:r>
      <w:r w:rsidR="00306C21" w:rsidRPr="00572A81">
        <w:t>1</w:t>
      </w:r>
      <w:r>
        <w:t xml:space="preserve">. Учитывая пропускные способности каналов, стоимость трафика между офисами, объемы резервируемых данных, представляется оптимальным установить независимые серверы резервного копирования в каждом из основных офисов. С целью оптимизации расходов на развертывание системы резервного копирования, запись резервной копии осуществляется на жесткий диск. </w:t>
      </w:r>
    </w:p>
    <w:p w14:paraId="1B2DDDDD" w14:textId="77777777" w:rsidR="00724A68" w:rsidRDefault="00724A68" w:rsidP="00724A68">
      <w:pPr>
        <w:pStyle w:val="BodyText"/>
      </w:pPr>
      <w:r>
        <w:t xml:space="preserve">С помощью указанного ПО выполняются такие действия, как задание режимов и составление расписания резервного копирования клиентов, осуществляются операции по загрузке и выгрузке носителей информации, проводится контроль за состоянием выполнения заданий, запускаются процедуры восстановления информации. </w:t>
      </w:r>
    </w:p>
    <w:p w14:paraId="49A535BC" w14:textId="77777777" w:rsidR="00724A68" w:rsidRDefault="00724A68" w:rsidP="00724A68">
      <w:pPr>
        <w:pStyle w:val="BodyText"/>
      </w:pPr>
      <w:r>
        <w:t xml:space="preserve">Настройка всех трех серверов одинакова. Для снижения совокупной нагрузки на информационную систему все операции по резервированию информации необходимо проводить в ночное время. Существуют три набора резервных копий: </w:t>
      </w:r>
    </w:p>
    <w:p w14:paraId="620B4DF4" w14:textId="77777777" w:rsidR="00724A68" w:rsidRDefault="00724A68" w:rsidP="00724A68">
      <w:pPr>
        <w:pStyle w:val="BodyText"/>
      </w:pPr>
      <w:r>
        <w:lastRenderedPageBreak/>
        <w:t xml:space="preserve">1. Месячный набор. Записывается информация на первое число текущего месяца. Срок хранения – месяц. Хранится на сервере резервного копирования. </w:t>
      </w:r>
    </w:p>
    <w:p w14:paraId="66BA6F9E" w14:textId="77777777" w:rsidR="00724A68" w:rsidRDefault="00724A68" w:rsidP="00724A68">
      <w:pPr>
        <w:pStyle w:val="BodyText"/>
      </w:pPr>
      <w:r>
        <w:t xml:space="preserve">2. Недельная копия. Записывается в ночь на среду и в ночь на субботу. Срок хранения – субботняя копия – до следующей среды, вторничная копия – до субботы. Хранится на сервере. </w:t>
      </w:r>
    </w:p>
    <w:p w14:paraId="1958E268" w14:textId="77777777" w:rsidR="00724A68" w:rsidRDefault="00724A68" w:rsidP="00724A68">
      <w:pPr>
        <w:pStyle w:val="BodyText"/>
      </w:pPr>
      <w:r>
        <w:t xml:space="preserve">3. Ежедневная копия. Записывается ежесуточно, кроме ночи на среду и ночи на субботу. Срок хранения – сутки. Записывается на съемный жесткий диск. Жесткий диск по отдельному расписанию выносится за пределы офиса. Различаются три принципиально разных источника информации, подлежащей резервированию: </w:t>
      </w:r>
    </w:p>
    <w:p w14:paraId="01F279BD" w14:textId="43F7F1B6" w:rsidR="00724A68" w:rsidRDefault="00724A68" w:rsidP="00724A68">
      <w:pPr>
        <w:pStyle w:val="BodyText"/>
      </w:pPr>
      <w:r>
        <w:t xml:space="preserve">1. Информация, хранимая </w:t>
      </w:r>
      <w:proofErr w:type="gramStart"/>
      <w:r>
        <w:t xml:space="preserve">в  </w:t>
      </w:r>
      <w:r w:rsidR="00A54D44">
        <w:rPr>
          <w:lang w:val="en-US"/>
        </w:rPr>
        <w:t>Microsoft</w:t>
      </w:r>
      <w:proofErr w:type="gramEnd"/>
      <w:r w:rsidR="00A54D44" w:rsidRPr="00777849">
        <w:t xml:space="preserve"> </w:t>
      </w:r>
      <w:proofErr w:type="spellStart"/>
      <w:r w:rsidR="00A54D44">
        <w:rPr>
          <w:lang w:val="en-US"/>
        </w:rPr>
        <w:t>Sql</w:t>
      </w:r>
      <w:proofErr w:type="spellEnd"/>
      <w:r w:rsidR="00A54D44" w:rsidRPr="00777849">
        <w:t xml:space="preserve"> </w:t>
      </w:r>
      <w:proofErr w:type="spellStart"/>
      <w:r>
        <w:t>Server</w:t>
      </w:r>
      <w:proofErr w:type="spellEnd"/>
      <w:r>
        <w:t xml:space="preserve">. </w:t>
      </w:r>
    </w:p>
    <w:p w14:paraId="4E3505DA" w14:textId="2C02FACF" w:rsidR="00724A68" w:rsidRDefault="00724A68" w:rsidP="00724A68">
      <w:pPr>
        <w:pStyle w:val="BodyText"/>
      </w:pPr>
      <w:r>
        <w:t xml:space="preserve">2. </w:t>
      </w:r>
      <w:r w:rsidR="00777849">
        <w:t>Базы данных Прикладной информационной системы.</w:t>
      </w:r>
    </w:p>
    <w:p w14:paraId="0248CFBA" w14:textId="2358BAB0" w:rsidR="00724A68" w:rsidRDefault="00724A68" w:rsidP="00724A68">
      <w:pPr>
        <w:pStyle w:val="BodyText"/>
      </w:pPr>
      <w:r>
        <w:t xml:space="preserve">Для резервирования информации, хранимой непосредственно в файловых системах (см. пункт 2-й, выше), используется ПО </w:t>
      </w:r>
      <w:proofErr w:type="spellStart"/>
      <w:r w:rsidR="00777849" w:rsidRPr="00777849">
        <w:t>Acronis</w:t>
      </w:r>
      <w:proofErr w:type="spellEnd"/>
      <w:r w:rsidR="00777849" w:rsidRPr="00777849">
        <w:t xml:space="preserve"> </w:t>
      </w:r>
      <w:proofErr w:type="spellStart"/>
      <w:r w:rsidR="00777849" w:rsidRPr="00777849">
        <w:t>True</w:t>
      </w:r>
      <w:proofErr w:type="spellEnd"/>
      <w:r w:rsidR="00777849" w:rsidRPr="00777849">
        <w:t xml:space="preserve"> </w:t>
      </w:r>
      <w:proofErr w:type="spellStart"/>
      <w:r w:rsidR="00777849" w:rsidRPr="00777849">
        <w:t>Image</w:t>
      </w:r>
      <w:proofErr w:type="spellEnd"/>
      <w:r w:rsidR="00777849" w:rsidRPr="00777849">
        <w:t xml:space="preserve"> 9.0</w:t>
      </w:r>
      <w:r w:rsidR="00777849">
        <w:t>.</w:t>
      </w:r>
    </w:p>
    <w:p w14:paraId="3E55C094" w14:textId="6C33B196" w:rsidR="00724A68" w:rsidRDefault="00724A68" w:rsidP="00724A68">
      <w:pPr>
        <w:pStyle w:val="BodyText"/>
      </w:pPr>
      <w:r>
        <w:t xml:space="preserve">Для резервирования информации, хранимой в базах данных Прикладной информационной системы (см. пункт 1-й, выше), в качестве промежуточного звена автоматизации используются средства конфигурирования Прикладной информационной системы и архиваторы. В результате работы промежуточного звена автоматизации формируется каталог с резервной копией данных Прикладной информационной системы. Посредством ПО </w:t>
      </w:r>
      <w:proofErr w:type="spellStart"/>
      <w:r w:rsidR="00777849" w:rsidRPr="00777849">
        <w:t>Acronis</w:t>
      </w:r>
      <w:proofErr w:type="spellEnd"/>
      <w:r w:rsidR="00777849" w:rsidRPr="00777849">
        <w:t xml:space="preserve"> </w:t>
      </w:r>
      <w:proofErr w:type="spellStart"/>
      <w:r w:rsidR="00777849" w:rsidRPr="00777849">
        <w:t>True</w:t>
      </w:r>
      <w:proofErr w:type="spellEnd"/>
      <w:r w:rsidR="00777849" w:rsidRPr="00777849">
        <w:t xml:space="preserve"> </w:t>
      </w:r>
      <w:proofErr w:type="spellStart"/>
      <w:r w:rsidR="00777849" w:rsidRPr="00777849">
        <w:t>Image</w:t>
      </w:r>
      <w:proofErr w:type="spellEnd"/>
      <w:r w:rsidR="00777849" w:rsidRPr="00777849">
        <w:t xml:space="preserve"> 9.0</w:t>
      </w:r>
      <w:r>
        <w:t xml:space="preserve"> формируются задания на проведение резервного копирования этого каталога. При этом указывается срок хранения информации и периодичность выполнения резервного копирования. </w:t>
      </w:r>
    </w:p>
    <w:bookmarkEnd w:id="5"/>
    <w:p w14:paraId="7AC9B579" w14:textId="77777777" w:rsidR="00724A68" w:rsidRDefault="00724A68" w:rsidP="00724A68">
      <w:pPr>
        <w:pStyle w:val="Heading2"/>
      </w:pPr>
      <w:r>
        <w:t>Приложение №4 - Методика восстановления данных</w:t>
      </w:r>
    </w:p>
    <w:p w14:paraId="2743CD48" w14:textId="77777777" w:rsidR="00724A68" w:rsidRDefault="00724A68" w:rsidP="00724A68">
      <w:pPr>
        <w:pStyle w:val="BodyText"/>
      </w:pPr>
      <w:r>
        <w:t xml:space="preserve">Любое восстановление информации, не вызванное необходимостью экстренного восстановления, связанной с потерей работоспособности информационной системы или ее компонент, выполняется на основании заявки, оформленной через систему </w:t>
      </w:r>
      <w:proofErr w:type="spellStart"/>
      <w:r>
        <w:t>HelpDesk</w:t>
      </w:r>
      <w:proofErr w:type="spellEnd"/>
      <w:r>
        <w:t xml:space="preserve">. </w:t>
      </w:r>
    </w:p>
    <w:p w14:paraId="6F271367" w14:textId="77777777" w:rsidR="00724A68" w:rsidRDefault="00724A68" w:rsidP="00724A68">
      <w:pPr>
        <w:pStyle w:val="BodyText"/>
      </w:pPr>
      <w:r>
        <w:t xml:space="preserve">Восстановление информации, относящейся к базам Прикладной информационной системы, происходит при тесном взаимодействии с администратором Прикладной информационной системы. </w:t>
      </w:r>
      <w:bookmarkStart w:id="6" w:name="_GoBack"/>
      <w:bookmarkEnd w:id="6"/>
    </w:p>
    <w:p w14:paraId="492044DD" w14:textId="04794E0C" w:rsidR="00724A68" w:rsidRDefault="00724A68" w:rsidP="00724A68">
      <w:pPr>
        <w:pStyle w:val="BodyText"/>
      </w:pPr>
      <w:r>
        <w:t xml:space="preserve">В процессе восстановления резервной копии следует руководствоваться инструкциями по восстановлению информации из резервных копий, описанных в документации, прилагающейся к системе резервного копирования ПО </w:t>
      </w:r>
      <w:proofErr w:type="spellStart"/>
      <w:r w:rsidR="00777849" w:rsidRPr="00777849">
        <w:t>Acronis</w:t>
      </w:r>
      <w:proofErr w:type="spellEnd"/>
      <w:r w:rsidR="00777849" w:rsidRPr="00777849">
        <w:t xml:space="preserve"> </w:t>
      </w:r>
      <w:proofErr w:type="spellStart"/>
      <w:r w:rsidR="00777849" w:rsidRPr="00777849">
        <w:t>True</w:t>
      </w:r>
      <w:proofErr w:type="spellEnd"/>
      <w:r w:rsidR="00777849" w:rsidRPr="00777849">
        <w:t xml:space="preserve"> </w:t>
      </w:r>
      <w:proofErr w:type="spellStart"/>
      <w:r w:rsidR="00777849" w:rsidRPr="00777849">
        <w:t>Image</w:t>
      </w:r>
      <w:proofErr w:type="spellEnd"/>
      <w:r w:rsidR="00777849" w:rsidRPr="00777849">
        <w:t xml:space="preserve"> 9.0</w:t>
      </w:r>
      <w:r>
        <w:t xml:space="preserve">. </w:t>
      </w:r>
    </w:p>
    <w:p w14:paraId="73E87C97" w14:textId="77777777" w:rsidR="000F43B8" w:rsidRPr="00C2404E" w:rsidRDefault="000F43B8" w:rsidP="00C2404E">
      <w:pPr>
        <w:rPr>
          <w:rFonts w:ascii="Times New Roman" w:hAnsi="Times New Roman" w:cs="Times New Roman"/>
          <w:iCs/>
          <w:sz w:val="28"/>
          <w:szCs w:val="28"/>
        </w:rPr>
      </w:pPr>
    </w:p>
    <w:sectPr w:rsidR="000F43B8" w:rsidRPr="00C2404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Arial Unicode MS"/>
    <w:charset w:val="02"/>
    <w:family w:val="auto"/>
    <w:pitch w:val="default"/>
  </w:font>
  <w:font w:name="Calibri">
    <w:panose1 w:val="020F0502020204030204"/>
    <w:charset w:val="CC"/>
    <w:family w:val="swiss"/>
    <w:pitch w:val="variable"/>
    <w:sig w:usb0="E0002AFF" w:usb1="4000ACFF" w:usb2="00000001" w:usb3="00000000" w:csb0="000001FF" w:csb1="00000000"/>
  </w:font>
  <w:font w:name="Liberation Serif">
    <w:altName w:val="Times New Roman"/>
    <w:charset w:val="01"/>
    <w:family w:val="roman"/>
    <w:pitch w:val="variable"/>
  </w:font>
  <w:font w:name="Noto Sans CJK SC Regular">
    <w:altName w:val="Calibri"/>
    <w:charset w:val="01"/>
    <w:family w:val="auto"/>
    <w:pitch w:val="variable"/>
  </w:font>
  <w:font w:name="FreeSans">
    <w:altName w:val="Calibri"/>
    <w:charset w:val="01"/>
    <w:family w:val="auto"/>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5"/>
    <w:multiLevelType w:val="multilevel"/>
    <w:tmpl w:val="00000005"/>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7"/>
    <w:multiLevelType w:val="multilevel"/>
    <w:tmpl w:val="00000007"/>
    <w:name w:val="WW8Num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8"/>
    <w:multiLevelType w:val="multilevel"/>
    <w:tmpl w:val="00000008"/>
    <w:name w:val="WW8Num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0D"/>
    <w:rsid w:val="000F43B8"/>
    <w:rsid w:val="00254065"/>
    <w:rsid w:val="00306C21"/>
    <w:rsid w:val="00572A81"/>
    <w:rsid w:val="00703C0A"/>
    <w:rsid w:val="00724A68"/>
    <w:rsid w:val="00777849"/>
    <w:rsid w:val="007B4462"/>
    <w:rsid w:val="00874F62"/>
    <w:rsid w:val="009303F6"/>
    <w:rsid w:val="00943FE9"/>
    <w:rsid w:val="00A54D44"/>
    <w:rsid w:val="00BA5E6D"/>
    <w:rsid w:val="00C2404E"/>
    <w:rsid w:val="00CA2CBC"/>
    <w:rsid w:val="00D5261B"/>
    <w:rsid w:val="00D9390D"/>
    <w:rsid w:val="00FD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8214"/>
  <w15:chartTrackingRefBased/>
  <w15:docId w15:val="{699204EA-4ABF-43D2-821A-523FB50D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90D"/>
    <w:pPr>
      <w:suppressAutoHyphens/>
      <w:spacing w:after="0" w:line="240" w:lineRule="auto"/>
    </w:pPr>
    <w:rPr>
      <w:rFonts w:ascii="Liberation Serif" w:eastAsia="Noto Sans CJK SC Regular" w:hAnsi="Liberation Serif" w:cs="FreeSans"/>
      <w:kern w:val="1"/>
      <w:sz w:val="24"/>
      <w:szCs w:val="24"/>
      <w:lang w:val="ru-RU" w:eastAsia="zh-CN" w:bidi="hi-IN"/>
    </w:rPr>
  </w:style>
  <w:style w:type="paragraph" w:styleId="Heading2">
    <w:name w:val="heading 2"/>
    <w:basedOn w:val="Normal"/>
    <w:next w:val="BodyText"/>
    <w:link w:val="Heading2Char"/>
    <w:qFormat/>
    <w:rsid w:val="00C2404E"/>
    <w:pPr>
      <w:keepNext/>
      <w:numPr>
        <w:ilvl w:val="1"/>
        <w:numId w:val="1"/>
      </w:numPr>
      <w:spacing w:before="200" w:after="12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9390D"/>
    <w:pPr>
      <w:spacing w:after="140" w:line="288" w:lineRule="auto"/>
    </w:pPr>
  </w:style>
  <w:style w:type="character" w:customStyle="1" w:styleId="BodyTextChar">
    <w:name w:val="Body Text Char"/>
    <w:basedOn w:val="DefaultParagraphFont"/>
    <w:link w:val="BodyText"/>
    <w:rsid w:val="00D9390D"/>
    <w:rPr>
      <w:rFonts w:ascii="Liberation Serif" w:eastAsia="Noto Sans CJK SC Regular" w:hAnsi="Liberation Serif" w:cs="FreeSans"/>
      <w:kern w:val="1"/>
      <w:sz w:val="24"/>
      <w:szCs w:val="24"/>
      <w:lang w:val="ru-RU" w:eastAsia="zh-CN" w:bidi="hi-IN"/>
    </w:rPr>
  </w:style>
  <w:style w:type="paragraph" w:customStyle="1" w:styleId="a">
    <w:name w:val="Содержимое таблицы"/>
    <w:basedOn w:val="Normal"/>
    <w:rsid w:val="00D9390D"/>
    <w:pPr>
      <w:suppressLineNumbers/>
    </w:pPr>
  </w:style>
  <w:style w:type="character" w:styleId="PlaceholderText">
    <w:name w:val="Placeholder Text"/>
    <w:basedOn w:val="DefaultParagraphFont"/>
    <w:uiPriority w:val="99"/>
    <w:semiHidden/>
    <w:rsid w:val="00D9390D"/>
    <w:rPr>
      <w:color w:val="808080"/>
    </w:rPr>
  </w:style>
  <w:style w:type="character" w:customStyle="1" w:styleId="Heading2Char">
    <w:name w:val="Heading 2 Char"/>
    <w:basedOn w:val="DefaultParagraphFont"/>
    <w:link w:val="Heading2"/>
    <w:rsid w:val="00C2404E"/>
    <w:rPr>
      <w:rFonts w:ascii="Liberation Serif" w:eastAsia="Noto Sans CJK SC Regular" w:hAnsi="Liberation Serif" w:cs="FreeSans"/>
      <w:b/>
      <w:bCs/>
      <w:kern w:val="1"/>
      <w:sz w:val="36"/>
      <w:szCs w:val="36"/>
      <w:lang w:val="ru-RU" w:eastAsia="zh-CN" w:bidi="hi-IN"/>
    </w:rPr>
  </w:style>
  <w:style w:type="character" w:styleId="Strong">
    <w:name w:val="Strong"/>
    <w:qFormat/>
    <w:rsid w:val="00C2404E"/>
    <w:rPr>
      <w:b/>
      <w:bCs/>
    </w:rPr>
  </w:style>
  <w:style w:type="paragraph" w:customStyle="1" w:styleId="a0">
    <w:name w:val="Заголовок таблицы"/>
    <w:basedOn w:val="a"/>
    <w:rsid w:val="00724A68"/>
    <w:pPr>
      <w:jc w:val="center"/>
    </w:pPr>
    <w:rPr>
      <w:b/>
      <w:bCs/>
    </w:rPr>
  </w:style>
  <w:style w:type="character" w:styleId="Hyperlink">
    <w:name w:val="Hyperlink"/>
    <w:basedOn w:val="DefaultParagraphFont"/>
    <w:uiPriority w:val="99"/>
    <w:unhideWhenUsed/>
    <w:rsid w:val="00D5261B"/>
    <w:rPr>
      <w:color w:val="0563C1" w:themeColor="hyperlink"/>
      <w:u w:val="single"/>
    </w:rPr>
  </w:style>
  <w:style w:type="character" w:styleId="UnresolvedMention">
    <w:name w:val="Unresolved Mention"/>
    <w:basedOn w:val="DefaultParagraphFont"/>
    <w:uiPriority w:val="99"/>
    <w:semiHidden/>
    <w:unhideWhenUsed/>
    <w:rsid w:val="00D52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Microsof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64870-C8C5-477C-8D6F-DC14233C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Azik</dc:creator>
  <cp:keywords/>
  <dc:description/>
  <cp:lastModifiedBy>Azik</cp:lastModifiedBy>
  <cp:revision>15</cp:revision>
  <dcterms:created xsi:type="dcterms:W3CDTF">2020-04-30T07:17:00Z</dcterms:created>
  <dcterms:modified xsi:type="dcterms:W3CDTF">2020-04-30T08:15:00Z</dcterms:modified>
</cp:coreProperties>
</file>