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dapw6h1neqm" w:id="0"/>
      <w:bookmarkEnd w:id="0"/>
      <w:r w:rsidDel="00000000" w:rsidR="00000000" w:rsidRPr="00000000">
        <w:rPr>
          <w:rtl w:val="0"/>
        </w:rPr>
        <w:t xml:space="preserve">Orientación a Objetos 2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edyn20sads4q" w:id="1"/>
      <w:bookmarkEnd w:id="1"/>
      <w:r w:rsidDel="00000000" w:rsidR="00000000" w:rsidRPr="00000000">
        <w:rPr>
          <w:rtl w:val="0"/>
        </w:rPr>
        <w:t xml:space="preserve">Práctica 5 -</w:t>
      </w:r>
      <w:r w:rsidDel="00000000" w:rsidR="00000000" w:rsidRPr="00000000">
        <w:rPr>
          <w:rtl w:val="0"/>
        </w:rPr>
        <w:t xml:space="preserve"> Parte II</w:t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Fecha de última edición: 18 abril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2r8mnk314i3" w:id="2"/>
      <w:bookmarkEnd w:id="2"/>
      <w:r w:rsidDel="00000000" w:rsidR="00000000" w:rsidRPr="00000000">
        <w:rPr>
          <w:rtl w:val="0"/>
        </w:rPr>
        <w:t xml:space="preserve">Facturación de llamadas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material adicional se corresponde con una aplicación de registro y facturación de llamadas telefónicas. Para lograr tal objetivo, la aplicación permite administrar números telefónicos, como así también clientes asociados a un número. Los clientes pueden ser personas físicas o jurídicas. Además, el sistema permite registrar las llamadas realizadas, las cuales pueden ser nacionales o internacionales. Luego, a partir de las llamadas, la aplicación realiza la facturación, es decir, calcula el monto que debe abonar cada cliente.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Importe el material adicional provisto por la cátedra y analícelo para identificar y corregir los malos olores que presenta. En forma </w:t>
      </w:r>
      <w:r w:rsidDel="00000000" w:rsidR="00000000" w:rsidRPr="00000000">
        <w:rPr>
          <w:rtl w:val="0"/>
        </w:rPr>
        <w:t xml:space="preserve">iterativa, realice los siguientes pasos: </w:t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(i) indique el mal olor, 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(ii) indique el refactoring que lo corrige, 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(iii) </w:t>
      </w:r>
      <w:r w:rsidDel="00000000" w:rsidR="00000000" w:rsidRPr="00000000">
        <w:rPr>
          <w:rtl w:val="0"/>
        </w:rPr>
        <w:t xml:space="preserve">aplique el refactoring (modifique el código). 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(iv) </w:t>
      </w:r>
      <w:r w:rsidDel="00000000" w:rsidR="00000000" w:rsidRPr="00000000">
        <w:rPr>
          <w:rtl w:val="0"/>
        </w:rPr>
        <w:t xml:space="preserve">asegúrese de que los tests provistos corran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Si vuelve a encontrar un mal olor, retorne al paso (i).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Valide su solución con algún ayudante para asegurarse de que no queden malos olores por identificar y refactorizar.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spacing w:line="276" w:lineRule="auto"/>
      <w:ind w:left="2160" w:firstLine="0"/>
      <w:jc w:val="center"/>
      <w:rPr/>
    </w:pPr>
    <w:bookmarkStart w:colFirst="0" w:colLast="0" w:name="_nt7fuj5p4mmz" w:id="3"/>
    <w:bookmarkEnd w:id="3"/>
    <w:r w:rsidDel="00000000" w:rsidR="00000000" w:rsidRPr="00000000">
      <w:rPr/>
      <w:drawing>
        <wp:inline distB="114300" distT="114300" distL="114300" distR="114300">
          <wp:extent cx="4033838" cy="72367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3838" cy="7236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