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damina" w:cs="Adamina" w:eastAsia="Adamina" w:hAnsi="Adamina"/>
          <w:sz w:val="42"/>
          <w:szCs w:val="42"/>
        </w:rPr>
      </w:pPr>
      <w:bookmarkStart w:colFirst="0" w:colLast="0" w:name="_ew9rbjpqhchp" w:id="0"/>
      <w:bookmarkEnd w:id="0"/>
      <w:r w:rsidDel="00000000" w:rsidR="00000000" w:rsidRPr="00000000">
        <w:rPr>
          <w:rFonts w:ascii="Adamina" w:cs="Adamina" w:eastAsia="Adamina" w:hAnsi="Adamina"/>
          <w:sz w:val="42"/>
          <w:szCs w:val="42"/>
          <w:rtl w:val="0"/>
        </w:rPr>
        <w:t xml:space="preserve">Notes on The Phantom of Spira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Controls the world through means of influence and manipulation by directly controlling key members of society and of the armies, such as and including commanders and generals. (His Thralls)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