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39CB4" w14:textId="4F86A289" w:rsidR="00843894" w:rsidRDefault="00A52F8C">
      <w:r>
        <w:t>Rescission of signature</w:t>
      </w:r>
    </w:p>
    <w:p w14:paraId="1DA9507A" w14:textId="3374936F" w:rsidR="004B6ECA" w:rsidRDefault="004B6ECA">
      <w:r>
        <w:t xml:space="preserve">12 CFR subchapter 226.15 Right of </w:t>
      </w:r>
      <w:r w:rsidR="00C05416">
        <w:t>rescission.</w:t>
      </w:r>
    </w:p>
    <w:p w14:paraId="34C4D00E" w14:textId="77777777" w:rsidR="0006790E" w:rsidRDefault="0006790E"/>
    <w:p w14:paraId="20F7B8E6" w14:textId="77777777" w:rsidR="0006790E" w:rsidRPr="0006790E" w:rsidRDefault="0006790E" w:rsidP="0006790E">
      <w:pPr>
        <w:shd w:val="clear" w:color="auto" w:fill="FFFFFF"/>
        <w:spacing w:after="0" w:line="240" w:lineRule="auto"/>
        <w:rPr>
          <w:rFonts w:ascii="Open Sans" w:eastAsia="Times New Roman" w:hAnsi="Open Sans" w:cs="Open Sans"/>
          <w:b/>
          <w:bCs/>
          <w:color w:val="333333"/>
          <w:kern w:val="0"/>
          <w:sz w:val="29"/>
          <w:szCs w:val="29"/>
          <w14:ligatures w14:val="none"/>
        </w:rPr>
      </w:pPr>
      <w:r w:rsidRPr="0006790E">
        <w:rPr>
          <w:rFonts w:ascii="Open Sans" w:eastAsia="Times New Roman" w:hAnsi="Open Sans" w:cs="Open Sans"/>
          <w:b/>
          <w:bCs/>
          <w:color w:val="333333"/>
          <w:kern w:val="0"/>
          <w:sz w:val="29"/>
          <w:szCs w:val="29"/>
          <w14:ligatures w14:val="none"/>
        </w:rPr>
        <w:t>§ 226.23 Right of rescission.</w:t>
      </w:r>
    </w:p>
    <w:p w14:paraId="5A7D1490" w14:textId="77777777" w:rsidR="0006790E" w:rsidRPr="0006790E" w:rsidRDefault="0006790E" w:rsidP="0006790E">
      <w:pPr>
        <w:shd w:val="clear" w:color="auto" w:fill="FFFFFF"/>
        <w:spacing w:before="150"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(a)</w:t>
      </w:r>
      <w:r w:rsidRPr="0006790E">
        <w:rPr>
          <w:rFonts w:ascii="Open Sans" w:eastAsia="Times New Roman" w:hAnsi="Open Sans" w:cs="Open Sans"/>
          <w:color w:val="333333"/>
          <w:kern w:val="0"/>
          <w:sz w:val="24"/>
          <w:szCs w:val="24"/>
          <w14:ligatures w14:val="none"/>
        </w:rPr>
        <w:t> </w:t>
      </w:r>
      <w:r w:rsidRPr="0006790E">
        <w:rPr>
          <w:rFonts w:ascii="Open Sans" w:eastAsia="Times New Roman" w:hAnsi="Open Sans" w:cs="Open Sans"/>
          <w:b/>
          <w:bCs/>
          <w:i/>
          <w:iCs/>
          <w:color w:val="333333"/>
          <w:kern w:val="0"/>
          <w:sz w:val="24"/>
          <w:szCs w:val="24"/>
          <w14:ligatures w14:val="none"/>
        </w:rPr>
        <w:t>Consumer's right to rescind.</w:t>
      </w:r>
    </w:p>
    <w:p w14:paraId="0B8ABD52"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(1)</w:t>
      </w:r>
      <w:r w:rsidRPr="0006790E">
        <w:rPr>
          <w:rFonts w:ascii="Open Sans" w:eastAsia="Times New Roman" w:hAnsi="Open Sans" w:cs="Open Sans"/>
          <w:color w:val="333333"/>
          <w:kern w:val="0"/>
          <w:sz w:val="24"/>
          <w:szCs w:val="24"/>
          <w14:ligatures w14:val="none"/>
        </w:rPr>
        <w:t> In a </w:t>
      </w:r>
      <w:hyperlink r:id="rId4" w:history="1">
        <w:r w:rsidRPr="0006790E">
          <w:rPr>
            <w:rFonts w:ascii="Open Sans" w:eastAsia="Times New Roman" w:hAnsi="Open Sans" w:cs="Open Sans"/>
            <w:color w:val="001C72"/>
            <w:kern w:val="0"/>
            <w:sz w:val="24"/>
            <w:szCs w:val="24"/>
            <w:u w:val="single"/>
            <w14:ligatures w14:val="none"/>
          </w:rPr>
          <w:t>credit</w:t>
        </w:r>
      </w:hyperlink>
      <w:r w:rsidRPr="0006790E">
        <w:rPr>
          <w:rFonts w:ascii="Open Sans" w:eastAsia="Times New Roman" w:hAnsi="Open Sans" w:cs="Open Sans"/>
          <w:color w:val="333333"/>
          <w:kern w:val="0"/>
          <w:sz w:val="24"/>
          <w:szCs w:val="24"/>
          <w14:ligatures w14:val="none"/>
        </w:rPr>
        <w:t> transaction in which a </w:t>
      </w:r>
      <w:hyperlink r:id="rId5" w:history="1">
        <w:r w:rsidRPr="0006790E">
          <w:rPr>
            <w:rFonts w:ascii="Open Sans" w:eastAsia="Times New Roman" w:hAnsi="Open Sans" w:cs="Open Sans"/>
            <w:color w:val="001C72"/>
            <w:kern w:val="0"/>
            <w:sz w:val="24"/>
            <w:szCs w:val="24"/>
            <w:u w:val="single"/>
            <w14:ligatures w14:val="none"/>
          </w:rPr>
          <w:t>security interest</w:t>
        </w:r>
      </w:hyperlink>
      <w:r w:rsidRPr="0006790E">
        <w:rPr>
          <w:rFonts w:ascii="Open Sans" w:eastAsia="Times New Roman" w:hAnsi="Open Sans" w:cs="Open Sans"/>
          <w:color w:val="333333"/>
          <w:kern w:val="0"/>
          <w:sz w:val="24"/>
          <w:szCs w:val="24"/>
          <w14:ligatures w14:val="none"/>
        </w:rPr>
        <w:t> is or will be retained or acquired in a </w:t>
      </w:r>
      <w:hyperlink r:id="rId6"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principal </w:t>
      </w:r>
      <w:hyperlink r:id="rId7" w:history="1">
        <w:r w:rsidRPr="0006790E">
          <w:rPr>
            <w:rFonts w:ascii="Open Sans" w:eastAsia="Times New Roman" w:hAnsi="Open Sans" w:cs="Open Sans"/>
            <w:color w:val="001C72"/>
            <w:kern w:val="0"/>
            <w:sz w:val="24"/>
            <w:szCs w:val="24"/>
            <w:u w:val="single"/>
            <w14:ligatures w14:val="none"/>
          </w:rPr>
          <w:t>dwelling</w:t>
        </w:r>
      </w:hyperlink>
      <w:r w:rsidRPr="0006790E">
        <w:rPr>
          <w:rFonts w:ascii="Open Sans" w:eastAsia="Times New Roman" w:hAnsi="Open Sans" w:cs="Open Sans"/>
          <w:color w:val="333333"/>
          <w:kern w:val="0"/>
          <w:sz w:val="24"/>
          <w:szCs w:val="24"/>
          <w14:ligatures w14:val="none"/>
        </w:rPr>
        <w:t>, each </w:t>
      </w:r>
      <w:hyperlink r:id="rId8"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whose ownership interest is or will be subject to the </w:t>
      </w:r>
      <w:hyperlink r:id="rId9" w:history="1">
        <w:r w:rsidRPr="0006790E">
          <w:rPr>
            <w:rFonts w:ascii="Open Sans" w:eastAsia="Times New Roman" w:hAnsi="Open Sans" w:cs="Open Sans"/>
            <w:color w:val="001C72"/>
            <w:kern w:val="0"/>
            <w:sz w:val="24"/>
            <w:szCs w:val="24"/>
            <w:u w:val="single"/>
            <w14:ligatures w14:val="none"/>
          </w:rPr>
          <w:t>security interest</w:t>
        </w:r>
      </w:hyperlink>
      <w:r w:rsidRPr="0006790E">
        <w:rPr>
          <w:rFonts w:ascii="Open Sans" w:eastAsia="Times New Roman" w:hAnsi="Open Sans" w:cs="Open Sans"/>
          <w:color w:val="333333"/>
          <w:kern w:val="0"/>
          <w:sz w:val="24"/>
          <w:szCs w:val="24"/>
          <w14:ligatures w14:val="none"/>
        </w:rPr>
        <w:t> shall have the right to rescind the transaction, except for transactions described in </w:t>
      </w:r>
      <w:hyperlink r:id="rId10" w:anchor="f" w:history="1">
        <w:r w:rsidRPr="0006790E">
          <w:rPr>
            <w:rFonts w:ascii="Open Sans" w:eastAsia="Times New Roman" w:hAnsi="Open Sans" w:cs="Open Sans"/>
            <w:color w:val="001C72"/>
            <w:kern w:val="0"/>
            <w:sz w:val="24"/>
            <w:szCs w:val="24"/>
            <w:u w:val="single"/>
            <w14:ligatures w14:val="none"/>
          </w:rPr>
          <w:t>paragraph (f)</w:t>
        </w:r>
      </w:hyperlink>
      <w:r w:rsidRPr="0006790E">
        <w:rPr>
          <w:rFonts w:ascii="Open Sans" w:eastAsia="Times New Roman" w:hAnsi="Open Sans" w:cs="Open Sans"/>
          <w:color w:val="333333"/>
          <w:kern w:val="0"/>
          <w:sz w:val="24"/>
          <w:szCs w:val="24"/>
          <w14:ligatures w14:val="none"/>
        </w:rPr>
        <w:t> of this section. </w:t>
      </w:r>
      <w:r w:rsidRPr="0006790E">
        <w:rPr>
          <w:rFonts w:ascii="Open Sans" w:eastAsia="Times New Roman" w:hAnsi="Open Sans" w:cs="Open Sans"/>
          <w:color w:val="333333"/>
          <w:kern w:val="0"/>
          <w:sz w:val="17"/>
          <w:szCs w:val="17"/>
          <w14:ligatures w14:val="none"/>
        </w:rPr>
        <w:t>47</w:t>
      </w:r>
    </w:p>
    <w:p w14:paraId="648DA091" w14:textId="77777777" w:rsidR="0006790E" w:rsidRPr="0006790E" w:rsidRDefault="0006790E" w:rsidP="0006790E">
      <w:pPr>
        <w:shd w:val="clear" w:color="auto" w:fill="FFFFFF"/>
        <w:spacing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color w:val="333333"/>
          <w:kern w:val="0"/>
          <w:sz w:val="17"/>
          <w:szCs w:val="17"/>
          <w14:ligatures w14:val="none"/>
        </w:rPr>
        <w:t>47</w:t>
      </w:r>
      <w:r w:rsidRPr="0006790E">
        <w:rPr>
          <w:rFonts w:ascii="Open Sans" w:eastAsia="Times New Roman" w:hAnsi="Open Sans" w:cs="Open Sans"/>
          <w:color w:val="333333"/>
          <w:kern w:val="0"/>
          <w:sz w:val="24"/>
          <w:szCs w:val="24"/>
          <w14:ligatures w14:val="none"/>
        </w:rPr>
        <w:t> For purposes of this section, the addition to an existing </w:t>
      </w:r>
      <w:hyperlink r:id="rId11" w:history="1">
        <w:r w:rsidRPr="0006790E">
          <w:rPr>
            <w:rFonts w:ascii="Open Sans" w:eastAsia="Times New Roman" w:hAnsi="Open Sans" w:cs="Open Sans"/>
            <w:color w:val="001C72"/>
            <w:kern w:val="0"/>
            <w:sz w:val="24"/>
            <w:szCs w:val="24"/>
            <w:u w:val="single"/>
            <w14:ligatures w14:val="none"/>
          </w:rPr>
          <w:t>obligation</w:t>
        </w:r>
      </w:hyperlink>
      <w:r w:rsidRPr="0006790E">
        <w:rPr>
          <w:rFonts w:ascii="Open Sans" w:eastAsia="Times New Roman" w:hAnsi="Open Sans" w:cs="Open Sans"/>
          <w:color w:val="333333"/>
          <w:kern w:val="0"/>
          <w:sz w:val="24"/>
          <w:szCs w:val="24"/>
          <w14:ligatures w14:val="none"/>
        </w:rPr>
        <w:t> of a </w:t>
      </w:r>
      <w:hyperlink r:id="rId12" w:history="1">
        <w:r w:rsidRPr="0006790E">
          <w:rPr>
            <w:rFonts w:ascii="Open Sans" w:eastAsia="Times New Roman" w:hAnsi="Open Sans" w:cs="Open Sans"/>
            <w:color w:val="001C72"/>
            <w:kern w:val="0"/>
            <w:sz w:val="24"/>
            <w:szCs w:val="24"/>
            <w:u w:val="single"/>
            <w14:ligatures w14:val="none"/>
          </w:rPr>
          <w:t>security interest</w:t>
        </w:r>
      </w:hyperlink>
      <w:r w:rsidRPr="0006790E">
        <w:rPr>
          <w:rFonts w:ascii="Open Sans" w:eastAsia="Times New Roman" w:hAnsi="Open Sans" w:cs="Open Sans"/>
          <w:color w:val="333333"/>
          <w:kern w:val="0"/>
          <w:sz w:val="24"/>
          <w:szCs w:val="24"/>
          <w14:ligatures w14:val="none"/>
        </w:rPr>
        <w:t> in a </w:t>
      </w:r>
      <w:hyperlink r:id="rId13"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principal </w:t>
      </w:r>
      <w:hyperlink r:id="rId14" w:history="1">
        <w:r w:rsidRPr="0006790E">
          <w:rPr>
            <w:rFonts w:ascii="Open Sans" w:eastAsia="Times New Roman" w:hAnsi="Open Sans" w:cs="Open Sans"/>
            <w:color w:val="001C72"/>
            <w:kern w:val="0"/>
            <w:sz w:val="24"/>
            <w:szCs w:val="24"/>
            <w:u w:val="single"/>
            <w14:ligatures w14:val="none"/>
          </w:rPr>
          <w:t>dwelling</w:t>
        </w:r>
      </w:hyperlink>
      <w:r w:rsidRPr="0006790E">
        <w:rPr>
          <w:rFonts w:ascii="Open Sans" w:eastAsia="Times New Roman" w:hAnsi="Open Sans" w:cs="Open Sans"/>
          <w:color w:val="333333"/>
          <w:kern w:val="0"/>
          <w:sz w:val="24"/>
          <w:szCs w:val="24"/>
          <w14:ligatures w14:val="none"/>
        </w:rPr>
        <w:t> is a transaction. The right of rescission applies only to the addition of the </w:t>
      </w:r>
      <w:hyperlink r:id="rId15" w:history="1">
        <w:r w:rsidRPr="0006790E">
          <w:rPr>
            <w:rFonts w:ascii="Open Sans" w:eastAsia="Times New Roman" w:hAnsi="Open Sans" w:cs="Open Sans"/>
            <w:color w:val="001C72"/>
            <w:kern w:val="0"/>
            <w:sz w:val="24"/>
            <w:szCs w:val="24"/>
            <w:u w:val="single"/>
            <w14:ligatures w14:val="none"/>
          </w:rPr>
          <w:t>security interest</w:t>
        </w:r>
      </w:hyperlink>
      <w:r w:rsidRPr="0006790E">
        <w:rPr>
          <w:rFonts w:ascii="Open Sans" w:eastAsia="Times New Roman" w:hAnsi="Open Sans" w:cs="Open Sans"/>
          <w:color w:val="333333"/>
          <w:kern w:val="0"/>
          <w:sz w:val="24"/>
          <w:szCs w:val="24"/>
          <w14:ligatures w14:val="none"/>
        </w:rPr>
        <w:t> and not the existing </w:t>
      </w:r>
      <w:hyperlink r:id="rId16" w:history="1">
        <w:r w:rsidRPr="0006790E">
          <w:rPr>
            <w:rFonts w:ascii="Open Sans" w:eastAsia="Times New Roman" w:hAnsi="Open Sans" w:cs="Open Sans"/>
            <w:color w:val="001C72"/>
            <w:kern w:val="0"/>
            <w:sz w:val="24"/>
            <w:szCs w:val="24"/>
            <w:u w:val="single"/>
            <w14:ligatures w14:val="none"/>
          </w:rPr>
          <w:t>obligation</w:t>
        </w:r>
      </w:hyperlink>
      <w:r w:rsidRPr="0006790E">
        <w:rPr>
          <w:rFonts w:ascii="Open Sans" w:eastAsia="Times New Roman" w:hAnsi="Open Sans" w:cs="Open Sans"/>
          <w:color w:val="333333"/>
          <w:kern w:val="0"/>
          <w:sz w:val="24"/>
          <w:szCs w:val="24"/>
          <w14:ligatures w14:val="none"/>
        </w:rPr>
        <w:t>. The </w:t>
      </w:r>
      <w:hyperlink r:id="rId17"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shall deliver the notice required by </w:t>
      </w:r>
      <w:hyperlink r:id="rId18" w:anchor="b" w:history="1">
        <w:r w:rsidRPr="0006790E">
          <w:rPr>
            <w:rFonts w:ascii="Open Sans" w:eastAsia="Times New Roman" w:hAnsi="Open Sans" w:cs="Open Sans"/>
            <w:color w:val="001C72"/>
            <w:kern w:val="0"/>
            <w:sz w:val="24"/>
            <w:szCs w:val="24"/>
            <w:u w:val="single"/>
            <w14:ligatures w14:val="none"/>
          </w:rPr>
          <w:t>paragraph (b)</w:t>
        </w:r>
      </w:hyperlink>
      <w:r w:rsidRPr="0006790E">
        <w:rPr>
          <w:rFonts w:ascii="Open Sans" w:eastAsia="Times New Roman" w:hAnsi="Open Sans" w:cs="Open Sans"/>
          <w:color w:val="333333"/>
          <w:kern w:val="0"/>
          <w:sz w:val="24"/>
          <w:szCs w:val="24"/>
          <w14:ligatures w14:val="none"/>
        </w:rPr>
        <w:t> of this section but need not deliver new material disclosures. Delivery of the required notice shall begin the rescission period.</w:t>
      </w:r>
    </w:p>
    <w:p w14:paraId="2855DA35"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(2)</w:t>
      </w:r>
      <w:r w:rsidRPr="0006790E">
        <w:rPr>
          <w:rFonts w:ascii="Open Sans" w:eastAsia="Times New Roman" w:hAnsi="Open Sans" w:cs="Open Sans"/>
          <w:color w:val="333333"/>
          <w:kern w:val="0"/>
          <w:sz w:val="24"/>
          <w:szCs w:val="24"/>
          <w14:ligatures w14:val="none"/>
        </w:rPr>
        <w:t> To exercise the right to rescind, the </w:t>
      </w:r>
      <w:hyperlink r:id="rId19"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shall notify the </w:t>
      </w:r>
      <w:hyperlink r:id="rId20"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of the rescission by mail, telegram or other means of written communication. Notice is considered given when mailed, when filed for telegraphic transmission or, if sent by other means, when delivered to the </w:t>
      </w:r>
      <w:hyperlink r:id="rId21"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's designated place of business.</w:t>
      </w:r>
    </w:p>
    <w:p w14:paraId="00A0DC94"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(3)</w:t>
      </w:r>
      <w:r w:rsidRPr="0006790E">
        <w:rPr>
          <w:rFonts w:ascii="Open Sans" w:eastAsia="Times New Roman" w:hAnsi="Open Sans" w:cs="Open Sans"/>
          <w:color w:val="333333"/>
          <w:kern w:val="0"/>
          <w:sz w:val="24"/>
          <w:szCs w:val="24"/>
          <w14:ligatures w14:val="none"/>
        </w:rPr>
        <w:t> The </w:t>
      </w:r>
      <w:hyperlink r:id="rId22"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may exercise the right to rescind until midnight of the third </w:t>
      </w:r>
      <w:hyperlink r:id="rId23" w:history="1">
        <w:r w:rsidRPr="0006790E">
          <w:rPr>
            <w:rFonts w:ascii="Open Sans" w:eastAsia="Times New Roman" w:hAnsi="Open Sans" w:cs="Open Sans"/>
            <w:color w:val="001C72"/>
            <w:kern w:val="0"/>
            <w:sz w:val="24"/>
            <w:szCs w:val="24"/>
            <w:u w:val="single"/>
            <w14:ligatures w14:val="none"/>
          </w:rPr>
          <w:t>business day</w:t>
        </w:r>
      </w:hyperlink>
      <w:r w:rsidRPr="0006790E">
        <w:rPr>
          <w:rFonts w:ascii="Open Sans" w:eastAsia="Times New Roman" w:hAnsi="Open Sans" w:cs="Open Sans"/>
          <w:color w:val="333333"/>
          <w:kern w:val="0"/>
          <w:sz w:val="24"/>
          <w:szCs w:val="24"/>
          <w14:ligatures w14:val="none"/>
        </w:rPr>
        <w:t> following </w:t>
      </w:r>
      <w:hyperlink r:id="rId24" w:history="1">
        <w:r w:rsidRPr="0006790E">
          <w:rPr>
            <w:rFonts w:ascii="Open Sans" w:eastAsia="Times New Roman" w:hAnsi="Open Sans" w:cs="Open Sans"/>
            <w:color w:val="001C72"/>
            <w:kern w:val="0"/>
            <w:sz w:val="24"/>
            <w:szCs w:val="24"/>
            <w:u w:val="single"/>
            <w14:ligatures w14:val="none"/>
          </w:rPr>
          <w:t>consummation</w:t>
        </w:r>
      </w:hyperlink>
      <w:r w:rsidRPr="0006790E">
        <w:rPr>
          <w:rFonts w:ascii="Open Sans" w:eastAsia="Times New Roman" w:hAnsi="Open Sans" w:cs="Open Sans"/>
          <w:color w:val="333333"/>
          <w:kern w:val="0"/>
          <w:sz w:val="24"/>
          <w:szCs w:val="24"/>
          <w14:ligatures w14:val="none"/>
        </w:rPr>
        <w:t>, delivery of the notice required by </w:t>
      </w:r>
      <w:hyperlink r:id="rId25" w:anchor="b" w:history="1">
        <w:r w:rsidRPr="0006790E">
          <w:rPr>
            <w:rFonts w:ascii="Open Sans" w:eastAsia="Times New Roman" w:hAnsi="Open Sans" w:cs="Open Sans"/>
            <w:color w:val="001C72"/>
            <w:kern w:val="0"/>
            <w:sz w:val="24"/>
            <w:szCs w:val="24"/>
            <w:u w:val="single"/>
            <w14:ligatures w14:val="none"/>
          </w:rPr>
          <w:t>paragraph (b)</w:t>
        </w:r>
      </w:hyperlink>
      <w:r w:rsidRPr="0006790E">
        <w:rPr>
          <w:rFonts w:ascii="Open Sans" w:eastAsia="Times New Roman" w:hAnsi="Open Sans" w:cs="Open Sans"/>
          <w:color w:val="333333"/>
          <w:kern w:val="0"/>
          <w:sz w:val="24"/>
          <w:szCs w:val="24"/>
          <w14:ligatures w14:val="none"/>
        </w:rPr>
        <w:t> of this section, or delivery of all material disclosures, </w:t>
      </w:r>
      <w:r w:rsidRPr="0006790E">
        <w:rPr>
          <w:rFonts w:ascii="Open Sans" w:eastAsia="Times New Roman" w:hAnsi="Open Sans" w:cs="Open Sans"/>
          <w:color w:val="333333"/>
          <w:kern w:val="0"/>
          <w:sz w:val="17"/>
          <w:szCs w:val="17"/>
          <w14:ligatures w14:val="none"/>
        </w:rPr>
        <w:t>48</w:t>
      </w:r>
      <w:r w:rsidRPr="0006790E">
        <w:rPr>
          <w:rFonts w:ascii="Open Sans" w:eastAsia="Times New Roman" w:hAnsi="Open Sans" w:cs="Open Sans"/>
          <w:color w:val="333333"/>
          <w:kern w:val="0"/>
          <w:sz w:val="24"/>
          <w:szCs w:val="24"/>
          <w14:ligatures w14:val="none"/>
        </w:rPr>
        <w:t> whichever occurs last. If the required notice or material disclosures are not delivered, the right to rescind shall expire 3 years after </w:t>
      </w:r>
      <w:hyperlink r:id="rId26" w:history="1">
        <w:r w:rsidRPr="0006790E">
          <w:rPr>
            <w:rFonts w:ascii="Open Sans" w:eastAsia="Times New Roman" w:hAnsi="Open Sans" w:cs="Open Sans"/>
            <w:color w:val="001C72"/>
            <w:kern w:val="0"/>
            <w:sz w:val="24"/>
            <w:szCs w:val="24"/>
            <w:u w:val="single"/>
            <w14:ligatures w14:val="none"/>
          </w:rPr>
          <w:t>consummation</w:t>
        </w:r>
      </w:hyperlink>
      <w:r w:rsidRPr="0006790E">
        <w:rPr>
          <w:rFonts w:ascii="Open Sans" w:eastAsia="Times New Roman" w:hAnsi="Open Sans" w:cs="Open Sans"/>
          <w:color w:val="333333"/>
          <w:kern w:val="0"/>
          <w:sz w:val="24"/>
          <w:szCs w:val="24"/>
          <w14:ligatures w14:val="none"/>
        </w:rPr>
        <w:t>, upon transfer of all of the </w:t>
      </w:r>
      <w:hyperlink r:id="rId27"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interest in the property, or upon sale of the property, whichever occurs first. In the case of certain administrative proceedings, the rescission period shall be extended in accordance with section 125(f) of the Act.</w:t>
      </w:r>
    </w:p>
    <w:p w14:paraId="363ACB85" w14:textId="77777777" w:rsidR="0006790E" w:rsidRPr="0006790E" w:rsidRDefault="0006790E" w:rsidP="0006790E">
      <w:pPr>
        <w:shd w:val="clear" w:color="auto" w:fill="FFFFFF"/>
        <w:spacing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color w:val="333333"/>
          <w:kern w:val="0"/>
          <w:sz w:val="17"/>
          <w:szCs w:val="17"/>
          <w14:ligatures w14:val="none"/>
        </w:rPr>
        <w:t>48</w:t>
      </w:r>
      <w:r w:rsidRPr="0006790E">
        <w:rPr>
          <w:rFonts w:ascii="Open Sans" w:eastAsia="Times New Roman" w:hAnsi="Open Sans" w:cs="Open Sans"/>
          <w:color w:val="333333"/>
          <w:kern w:val="0"/>
          <w:sz w:val="24"/>
          <w:szCs w:val="24"/>
          <w14:ligatures w14:val="none"/>
        </w:rPr>
        <w:t> The term ‘material disclosures’ means the required disclosures of the annual percentage rate, the finance charge, the </w:t>
      </w:r>
      <w:hyperlink r:id="rId28" w:history="1">
        <w:r w:rsidRPr="0006790E">
          <w:rPr>
            <w:rFonts w:ascii="Open Sans" w:eastAsia="Times New Roman" w:hAnsi="Open Sans" w:cs="Open Sans"/>
            <w:color w:val="001C72"/>
            <w:kern w:val="0"/>
            <w:sz w:val="24"/>
            <w:szCs w:val="24"/>
            <w:u w:val="single"/>
            <w14:ligatures w14:val="none"/>
          </w:rPr>
          <w:t>amount</w:t>
        </w:r>
      </w:hyperlink>
      <w:r w:rsidRPr="0006790E">
        <w:rPr>
          <w:rFonts w:ascii="Open Sans" w:eastAsia="Times New Roman" w:hAnsi="Open Sans" w:cs="Open Sans"/>
          <w:color w:val="333333"/>
          <w:kern w:val="0"/>
          <w:sz w:val="24"/>
          <w:szCs w:val="24"/>
          <w14:ligatures w14:val="none"/>
        </w:rPr>
        <w:t> financed, the total of payments, the payment schedule, and the disclosures and limitations referred to in </w:t>
      </w:r>
      <w:hyperlink r:id="rId29" w:anchor="c" w:history="1">
        <w:r w:rsidRPr="0006790E">
          <w:rPr>
            <w:rFonts w:ascii="Open Sans" w:eastAsia="Times New Roman" w:hAnsi="Open Sans" w:cs="Open Sans"/>
            <w:color w:val="001C72"/>
            <w:kern w:val="0"/>
            <w:sz w:val="24"/>
            <w:szCs w:val="24"/>
            <w:u w:val="single"/>
            <w14:ligatures w14:val="none"/>
          </w:rPr>
          <w:t>§§ 226.32(c) and (d)</w:t>
        </w:r>
      </w:hyperlink>
      <w:r w:rsidRPr="0006790E">
        <w:rPr>
          <w:rFonts w:ascii="Open Sans" w:eastAsia="Times New Roman" w:hAnsi="Open Sans" w:cs="Open Sans"/>
          <w:color w:val="333333"/>
          <w:kern w:val="0"/>
          <w:sz w:val="24"/>
          <w:szCs w:val="24"/>
          <w14:ligatures w14:val="none"/>
        </w:rPr>
        <w:t> and 226.35(b)(2).</w:t>
      </w:r>
    </w:p>
    <w:p w14:paraId="089E782D"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(4)</w:t>
      </w:r>
      <w:r w:rsidRPr="0006790E">
        <w:rPr>
          <w:rFonts w:ascii="Open Sans" w:eastAsia="Times New Roman" w:hAnsi="Open Sans" w:cs="Open Sans"/>
          <w:color w:val="333333"/>
          <w:kern w:val="0"/>
          <w:sz w:val="24"/>
          <w:szCs w:val="24"/>
          <w14:ligatures w14:val="none"/>
        </w:rPr>
        <w:t> When more than one </w:t>
      </w:r>
      <w:hyperlink r:id="rId30"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in a transaction has the right to rescind, the exercise of the right by one </w:t>
      </w:r>
      <w:hyperlink r:id="rId31"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shall be effective as to all consumers.</w:t>
      </w:r>
    </w:p>
    <w:p w14:paraId="42750088" w14:textId="77777777" w:rsidR="0006790E" w:rsidRPr="0006790E" w:rsidRDefault="0006790E" w:rsidP="0006790E">
      <w:pPr>
        <w:shd w:val="clear" w:color="auto" w:fill="FFFFFF"/>
        <w:spacing w:before="150"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lastRenderedPageBreak/>
        <w:t>(b)</w:t>
      </w:r>
    </w:p>
    <w:p w14:paraId="1DA2455D"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(1)</w:t>
      </w:r>
      <w:r w:rsidRPr="0006790E">
        <w:rPr>
          <w:rFonts w:ascii="Open Sans" w:eastAsia="Times New Roman" w:hAnsi="Open Sans" w:cs="Open Sans"/>
          <w:color w:val="333333"/>
          <w:kern w:val="0"/>
          <w:sz w:val="24"/>
          <w:szCs w:val="24"/>
          <w14:ligatures w14:val="none"/>
        </w:rPr>
        <w:t> </w:t>
      </w:r>
      <w:r w:rsidRPr="0006790E">
        <w:rPr>
          <w:rFonts w:ascii="Open Sans" w:eastAsia="Times New Roman" w:hAnsi="Open Sans" w:cs="Open Sans"/>
          <w:b/>
          <w:bCs/>
          <w:i/>
          <w:iCs/>
          <w:color w:val="333333"/>
          <w:kern w:val="0"/>
          <w:sz w:val="24"/>
          <w:szCs w:val="24"/>
          <w14:ligatures w14:val="none"/>
        </w:rPr>
        <w:t>Notice of right to rescind.</w:t>
      </w:r>
      <w:r w:rsidRPr="0006790E">
        <w:rPr>
          <w:rFonts w:ascii="Open Sans" w:eastAsia="Times New Roman" w:hAnsi="Open Sans" w:cs="Open Sans"/>
          <w:color w:val="333333"/>
          <w:kern w:val="0"/>
          <w:sz w:val="24"/>
          <w:szCs w:val="24"/>
          <w14:ligatures w14:val="none"/>
        </w:rPr>
        <w:t> In a transaction subject to rescission, a </w:t>
      </w:r>
      <w:hyperlink r:id="rId32"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shall deliver two copies of the notice of the right to rescind to each </w:t>
      </w:r>
      <w:hyperlink r:id="rId33"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entitled to rescind (one copy to each if the notice is delivered in electronic form in accordance with the </w:t>
      </w:r>
      <w:hyperlink r:id="rId34"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consent and other applicable provisions of the E-Sign Act). The notice shall be on a separate document that identifies the transaction and shall clearly and conspicuously disclose the following:</w:t>
      </w:r>
    </w:p>
    <w:p w14:paraId="754BC019"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w:t>
      </w:r>
      <w:proofErr w:type="spellStart"/>
      <w:r w:rsidRPr="0006790E">
        <w:rPr>
          <w:rFonts w:ascii="Open Sans" w:eastAsia="Times New Roman" w:hAnsi="Open Sans" w:cs="Open Sans"/>
          <w:b/>
          <w:bCs/>
          <w:color w:val="333333"/>
          <w:kern w:val="0"/>
          <w:sz w:val="24"/>
          <w:szCs w:val="24"/>
          <w14:ligatures w14:val="none"/>
        </w:rPr>
        <w:t>i</w:t>
      </w:r>
      <w:proofErr w:type="spellEnd"/>
      <w:r w:rsidRPr="0006790E">
        <w:rPr>
          <w:rFonts w:ascii="Open Sans" w:eastAsia="Times New Roman" w:hAnsi="Open Sans" w:cs="Open Sans"/>
          <w:b/>
          <w:bCs/>
          <w:color w:val="333333"/>
          <w:kern w:val="0"/>
          <w:sz w:val="24"/>
          <w:szCs w:val="24"/>
          <w14:ligatures w14:val="none"/>
        </w:rPr>
        <w:t>)</w:t>
      </w:r>
      <w:r w:rsidRPr="0006790E">
        <w:rPr>
          <w:rFonts w:ascii="Open Sans" w:eastAsia="Times New Roman" w:hAnsi="Open Sans" w:cs="Open Sans"/>
          <w:color w:val="333333"/>
          <w:kern w:val="0"/>
          <w:sz w:val="24"/>
          <w:szCs w:val="24"/>
          <w14:ligatures w14:val="none"/>
        </w:rPr>
        <w:t> The retention or acquisition of a </w:t>
      </w:r>
      <w:hyperlink r:id="rId35" w:history="1">
        <w:r w:rsidRPr="0006790E">
          <w:rPr>
            <w:rFonts w:ascii="Open Sans" w:eastAsia="Times New Roman" w:hAnsi="Open Sans" w:cs="Open Sans"/>
            <w:color w:val="001C72"/>
            <w:kern w:val="0"/>
            <w:sz w:val="24"/>
            <w:szCs w:val="24"/>
            <w:u w:val="single"/>
            <w14:ligatures w14:val="none"/>
          </w:rPr>
          <w:t>security interest</w:t>
        </w:r>
      </w:hyperlink>
      <w:r w:rsidRPr="0006790E">
        <w:rPr>
          <w:rFonts w:ascii="Open Sans" w:eastAsia="Times New Roman" w:hAnsi="Open Sans" w:cs="Open Sans"/>
          <w:color w:val="333333"/>
          <w:kern w:val="0"/>
          <w:sz w:val="24"/>
          <w:szCs w:val="24"/>
          <w14:ligatures w14:val="none"/>
        </w:rPr>
        <w:t> in the </w:t>
      </w:r>
      <w:hyperlink r:id="rId36"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principal </w:t>
      </w:r>
      <w:hyperlink r:id="rId37" w:history="1">
        <w:r w:rsidRPr="0006790E">
          <w:rPr>
            <w:rFonts w:ascii="Open Sans" w:eastAsia="Times New Roman" w:hAnsi="Open Sans" w:cs="Open Sans"/>
            <w:color w:val="001C72"/>
            <w:kern w:val="0"/>
            <w:sz w:val="24"/>
            <w:szCs w:val="24"/>
            <w:u w:val="single"/>
            <w14:ligatures w14:val="none"/>
          </w:rPr>
          <w:t>dwelling</w:t>
        </w:r>
      </w:hyperlink>
      <w:r w:rsidRPr="0006790E">
        <w:rPr>
          <w:rFonts w:ascii="Open Sans" w:eastAsia="Times New Roman" w:hAnsi="Open Sans" w:cs="Open Sans"/>
          <w:color w:val="333333"/>
          <w:kern w:val="0"/>
          <w:sz w:val="24"/>
          <w:szCs w:val="24"/>
          <w14:ligatures w14:val="none"/>
        </w:rPr>
        <w:t>.</w:t>
      </w:r>
    </w:p>
    <w:p w14:paraId="76156B93"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(ii)</w:t>
      </w:r>
      <w:r w:rsidRPr="0006790E">
        <w:rPr>
          <w:rFonts w:ascii="Open Sans" w:eastAsia="Times New Roman" w:hAnsi="Open Sans" w:cs="Open Sans"/>
          <w:color w:val="333333"/>
          <w:kern w:val="0"/>
          <w:sz w:val="24"/>
          <w:szCs w:val="24"/>
          <w14:ligatures w14:val="none"/>
        </w:rPr>
        <w:t> The </w:t>
      </w:r>
      <w:hyperlink r:id="rId38"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right to rescind the transaction.</w:t>
      </w:r>
    </w:p>
    <w:p w14:paraId="2ECCE735"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(iii)</w:t>
      </w:r>
      <w:r w:rsidRPr="0006790E">
        <w:rPr>
          <w:rFonts w:ascii="Open Sans" w:eastAsia="Times New Roman" w:hAnsi="Open Sans" w:cs="Open Sans"/>
          <w:color w:val="333333"/>
          <w:kern w:val="0"/>
          <w:sz w:val="24"/>
          <w:szCs w:val="24"/>
          <w14:ligatures w14:val="none"/>
        </w:rPr>
        <w:t> How to exercise the right to rescind, with a form for that purpose, designating the address of the </w:t>
      </w:r>
      <w:hyperlink r:id="rId39"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's place of business.</w:t>
      </w:r>
    </w:p>
    <w:p w14:paraId="05CE9906"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(iv)</w:t>
      </w:r>
      <w:r w:rsidRPr="0006790E">
        <w:rPr>
          <w:rFonts w:ascii="Open Sans" w:eastAsia="Times New Roman" w:hAnsi="Open Sans" w:cs="Open Sans"/>
          <w:color w:val="333333"/>
          <w:kern w:val="0"/>
          <w:sz w:val="24"/>
          <w:szCs w:val="24"/>
          <w14:ligatures w14:val="none"/>
        </w:rPr>
        <w:t> The effects of rescission, as described in </w:t>
      </w:r>
      <w:hyperlink r:id="rId40" w:anchor="d" w:history="1">
        <w:r w:rsidRPr="0006790E">
          <w:rPr>
            <w:rFonts w:ascii="Open Sans" w:eastAsia="Times New Roman" w:hAnsi="Open Sans" w:cs="Open Sans"/>
            <w:color w:val="001C72"/>
            <w:kern w:val="0"/>
            <w:sz w:val="24"/>
            <w:szCs w:val="24"/>
            <w:u w:val="single"/>
            <w14:ligatures w14:val="none"/>
          </w:rPr>
          <w:t>paragraph (d)</w:t>
        </w:r>
      </w:hyperlink>
      <w:r w:rsidRPr="0006790E">
        <w:rPr>
          <w:rFonts w:ascii="Open Sans" w:eastAsia="Times New Roman" w:hAnsi="Open Sans" w:cs="Open Sans"/>
          <w:color w:val="333333"/>
          <w:kern w:val="0"/>
          <w:sz w:val="24"/>
          <w:szCs w:val="24"/>
          <w14:ligatures w14:val="none"/>
        </w:rPr>
        <w:t> of this section.</w:t>
      </w:r>
    </w:p>
    <w:p w14:paraId="61D13A91"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(v)</w:t>
      </w:r>
      <w:r w:rsidRPr="0006790E">
        <w:rPr>
          <w:rFonts w:ascii="Open Sans" w:eastAsia="Times New Roman" w:hAnsi="Open Sans" w:cs="Open Sans"/>
          <w:color w:val="333333"/>
          <w:kern w:val="0"/>
          <w:sz w:val="24"/>
          <w:szCs w:val="24"/>
          <w14:ligatures w14:val="none"/>
        </w:rPr>
        <w:t> The date the rescission period expires.</w:t>
      </w:r>
    </w:p>
    <w:p w14:paraId="32C0C024"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(2)</w:t>
      </w:r>
      <w:r w:rsidRPr="0006790E">
        <w:rPr>
          <w:rFonts w:ascii="Open Sans" w:eastAsia="Times New Roman" w:hAnsi="Open Sans" w:cs="Open Sans"/>
          <w:color w:val="333333"/>
          <w:kern w:val="0"/>
          <w:sz w:val="24"/>
          <w:szCs w:val="24"/>
          <w14:ligatures w14:val="none"/>
        </w:rPr>
        <w:t> </w:t>
      </w:r>
      <w:r w:rsidRPr="0006790E">
        <w:rPr>
          <w:rFonts w:ascii="Open Sans" w:eastAsia="Times New Roman" w:hAnsi="Open Sans" w:cs="Open Sans"/>
          <w:b/>
          <w:bCs/>
          <w:i/>
          <w:iCs/>
          <w:color w:val="333333"/>
          <w:kern w:val="0"/>
          <w:sz w:val="24"/>
          <w:szCs w:val="24"/>
          <w14:ligatures w14:val="none"/>
        </w:rPr>
        <w:t>Proper form of notice.</w:t>
      </w:r>
      <w:r w:rsidRPr="0006790E">
        <w:rPr>
          <w:rFonts w:ascii="Open Sans" w:eastAsia="Times New Roman" w:hAnsi="Open Sans" w:cs="Open Sans"/>
          <w:color w:val="333333"/>
          <w:kern w:val="0"/>
          <w:sz w:val="24"/>
          <w:szCs w:val="24"/>
          <w14:ligatures w14:val="none"/>
        </w:rPr>
        <w:t> To satisfy the disclosure requirements of </w:t>
      </w:r>
      <w:hyperlink r:id="rId41" w:anchor="b_1" w:history="1">
        <w:r w:rsidRPr="0006790E">
          <w:rPr>
            <w:rFonts w:ascii="Open Sans" w:eastAsia="Times New Roman" w:hAnsi="Open Sans" w:cs="Open Sans"/>
            <w:color w:val="001C72"/>
            <w:kern w:val="0"/>
            <w:sz w:val="24"/>
            <w:szCs w:val="24"/>
            <w:u w:val="single"/>
            <w14:ligatures w14:val="none"/>
          </w:rPr>
          <w:t>paragraph (b)(1)</w:t>
        </w:r>
      </w:hyperlink>
      <w:r w:rsidRPr="0006790E">
        <w:rPr>
          <w:rFonts w:ascii="Open Sans" w:eastAsia="Times New Roman" w:hAnsi="Open Sans" w:cs="Open Sans"/>
          <w:color w:val="333333"/>
          <w:kern w:val="0"/>
          <w:sz w:val="24"/>
          <w:szCs w:val="24"/>
          <w14:ligatures w14:val="none"/>
        </w:rPr>
        <w:t> of this section, the </w:t>
      </w:r>
      <w:hyperlink r:id="rId42"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shall provide the appropriate model form in appendix H of this part or a substantially similar notice.</w:t>
      </w:r>
    </w:p>
    <w:p w14:paraId="2797FB66" w14:textId="77777777" w:rsidR="0006790E" w:rsidRPr="0006790E" w:rsidRDefault="0006790E" w:rsidP="0006790E">
      <w:pPr>
        <w:shd w:val="clear" w:color="auto" w:fill="FFFFFF"/>
        <w:spacing w:before="150"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(c)</w:t>
      </w:r>
      <w:r w:rsidRPr="0006790E">
        <w:rPr>
          <w:rFonts w:ascii="Open Sans" w:eastAsia="Times New Roman" w:hAnsi="Open Sans" w:cs="Open Sans"/>
          <w:color w:val="333333"/>
          <w:kern w:val="0"/>
          <w:sz w:val="24"/>
          <w:szCs w:val="24"/>
          <w14:ligatures w14:val="none"/>
        </w:rPr>
        <w:t> </w:t>
      </w:r>
      <w:r w:rsidRPr="0006790E">
        <w:rPr>
          <w:rFonts w:ascii="Open Sans" w:eastAsia="Times New Roman" w:hAnsi="Open Sans" w:cs="Open Sans"/>
          <w:b/>
          <w:bCs/>
          <w:i/>
          <w:iCs/>
          <w:color w:val="333333"/>
          <w:kern w:val="0"/>
          <w:sz w:val="24"/>
          <w:szCs w:val="24"/>
          <w14:ligatures w14:val="none"/>
        </w:rPr>
        <w:t>Delay of creditor's performance.</w:t>
      </w:r>
      <w:r w:rsidRPr="0006790E">
        <w:rPr>
          <w:rFonts w:ascii="Open Sans" w:eastAsia="Times New Roman" w:hAnsi="Open Sans" w:cs="Open Sans"/>
          <w:color w:val="333333"/>
          <w:kern w:val="0"/>
          <w:sz w:val="24"/>
          <w:szCs w:val="24"/>
          <w14:ligatures w14:val="none"/>
        </w:rPr>
        <w:t> Unless a </w:t>
      </w:r>
      <w:hyperlink r:id="rId43"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waives the right of rescission under </w:t>
      </w:r>
      <w:hyperlink r:id="rId44" w:anchor="e" w:history="1">
        <w:r w:rsidRPr="0006790E">
          <w:rPr>
            <w:rFonts w:ascii="Open Sans" w:eastAsia="Times New Roman" w:hAnsi="Open Sans" w:cs="Open Sans"/>
            <w:color w:val="001C72"/>
            <w:kern w:val="0"/>
            <w:sz w:val="24"/>
            <w:szCs w:val="24"/>
            <w:u w:val="single"/>
            <w14:ligatures w14:val="none"/>
          </w:rPr>
          <w:t>paragraph (e)</w:t>
        </w:r>
      </w:hyperlink>
      <w:r w:rsidRPr="0006790E">
        <w:rPr>
          <w:rFonts w:ascii="Open Sans" w:eastAsia="Times New Roman" w:hAnsi="Open Sans" w:cs="Open Sans"/>
          <w:color w:val="333333"/>
          <w:kern w:val="0"/>
          <w:sz w:val="24"/>
          <w:szCs w:val="24"/>
          <w14:ligatures w14:val="none"/>
        </w:rPr>
        <w:t> of this section, no money shall be disbursed other than in escrow, no services shall be performed and no materials delivered until the rescission period has expired and the </w:t>
      </w:r>
      <w:hyperlink r:id="rId45"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is reasonably satisfied that the </w:t>
      </w:r>
      <w:hyperlink r:id="rId46"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has not rescinded.</w:t>
      </w:r>
    </w:p>
    <w:p w14:paraId="0C943520" w14:textId="77777777" w:rsidR="0006790E" w:rsidRPr="0006790E" w:rsidRDefault="0006790E" w:rsidP="0006790E">
      <w:pPr>
        <w:shd w:val="clear" w:color="auto" w:fill="FFFFFF"/>
        <w:spacing w:before="150" w:after="150" w:line="240" w:lineRule="auto"/>
        <w:rPr>
          <w:rFonts w:ascii="Open Sans" w:eastAsia="Times New Roman" w:hAnsi="Open Sans" w:cs="Open Sans"/>
          <w:b/>
          <w:bC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(d) </w:t>
      </w:r>
      <w:r w:rsidRPr="0006790E">
        <w:rPr>
          <w:rFonts w:ascii="Open Sans" w:eastAsia="Times New Roman" w:hAnsi="Open Sans" w:cs="Open Sans"/>
          <w:b/>
          <w:bCs/>
          <w:i/>
          <w:iCs/>
          <w:color w:val="333333"/>
          <w:kern w:val="0"/>
          <w:sz w:val="24"/>
          <w:szCs w:val="24"/>
          <w14:ligatures w14:val="none"/>
        </w:rPr>
        <w:t>Effects of rescission.</w:t>
      </w:r>
    </w:p>
    <w:p w14:paraId="2CC6C187"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(1) When a </w:t>
      </w:r>
      <w:hyperlink r:id="rId47" w:history="1">
        <w:r w:rsidRPr="0006790E">
          <w:rPr>
            <w:rFonts w:ascii="Open Sans" w:eastAsia="Times New Roman" w:hAnsi="Open Sans" w:cs="Open Sans"/>
            <w:b/>
            <w:bCs/>
            <w:color w:val="001C72"/>
            <w:kern w:val="0"/>
            <w:sz w:val="24"/>
            <w:szCs w:val="24"/>
            <w:u w:val="single"/>
            <w14:ligatures w14:val="none"/>
          </w:rPr>
          <w:t>consumer</w:t>
        </w:r>
      </w:hyperlink>
      <w:r w:rsidRPr="0006790E">
        <w:rPr>
          <w:rFonts w:ascii="Open Sans" w:eastAsia="Times New Roman" w:hAnsi="Open Sans" w:cs="Open Sans"/>
          <w:b/>
          <w:bCs/>
          <w:color w:val="333333"/>
          <w:kern w:val="0"/>
          <w:sz w:val="24"/>
          <w:szCs w:val="24"/>
          <w14:ligatures w14:val="none"/>
        </w:rPr>
        <w:t> rescinds a transaction, the </w:t>
      </w:r>
      <w:hyperlink r:id="rId48" w:history="1">
        <w:r w:rsidRPr="0006790E">
          <w:rPr>
            <w:rFonts w:ascii="Open Sans" w:eastAsia="Times New Roman" w:hAnsi="Open Sans" w:cs="Open Sans"/>
            <w:b/>
            <w:bCs/>
            <w:color w:val="001C72"/>
            <w:kern w:val="0"/>
            <w:sz w:val="24"/>
            <w:szCs w:val="24"/>
            <w:u w:val="single"/>
            <w14:ligatures w14:val="none"/>
          </w:rPr>
          <w:t>security interest</w:t>
        </w:r>
      </w:hyperlink>
      <w:r w:rsidRPr="0006790E">
        <w:rPr>
          <w:rFonts w:ascii="Open Sans" w:eastAsia="Times New Roman" w:hAnsi="Open Sans" w:cs="Open Sans"/>
          <w:b/>
          <w:bCs/>
          <w:color w:val="333333"/>
          <w:kern w:val="0"/>
          <w:sz w:val="24"/>
          <w:szCs w:val="24"/>
          <w14:ligatures w14:val="none"/>
        </w:rPr>
        <w:t> giving rise to the right of rescission becomes void and the </w:t>
      </w:r>
      <w:hyperlink r:id="rId49" w:history="1">
        <w:r w:rsidRPr="0006790E">
          <w:rPr>
            <w:rFonts w:ascii="Open Sans" w:eastAsia="Times New Roman" w:hAnsi="Open Sans" w:cs="Open Sans"/>
            <w:b/>
            <w:bCs/>
            <w:color w:val="001C72"/>
            <w:kern w:val="0"/>
            <w:sz w:val="24"/>
            <w:szCs w:val="24"/>
            <w:u w:val="single"/>
            <w14:ligatures w14:val="none"/>
          </w:rPr>
          <w:t>consumer</w:t>
        </w:r>
      </w:hyperlink>
      <w:r w:rsidRPr="0006790E">
        <w:rPr>
          <w:rFonts w:ascii="Open Sans" w:eastAsia="Times New Roman" w:hAnsi="Open Sans" w:cs="Open Sans"/>
          <w:b/>
          <w:bCs/>
          <w:color w:val="333333"/>
          <w:kern w:val="0"/>
          <w:sz w:val="24"/>
          <w:szCs w:val="24"/>
          <w14:ligatures w14:val="none"/>
        </w:rPr>
        <w:t> shall not be liable for any </w:t>
      </w:r>
      <w:hyperlink r:id="rId50" w:history="1">
        <w:r w:rsidRPr="0006790E">
          <w:rPr>
            <w:rFonts w:ascii="Open Sans" w:eastAsia="Times New Roman" w:hAnsi="Open Sans" w:cs="Open Sans"/>
            <w:b/>
            <w:bCs/>
            <w:color w:val="001C72"/>
            <w:kern w:val="0"/>
            <w:sz w:val="24"/>
            <w:szCs w:val="24"/>
            <w:u w:val="single"/>
            <w14:ligatures w14:val="none"/>
          </w:rPr>
          <w:t>amount</w:t>
        </w:r>
      </w:hyperlink>
      <w:r w:rsidRPr="0006790E">
        <w:rPr>
          <w:rFonts w:ascii="Open Sans" w:eastAsia="Times New Roman" w:hAnsi="Open Sans" w:cs="Open Sans"/>
          <w:b/>
          <w:bCs/>
          <w:color w:val="333333"/>
          <w:kern w:val="0"/>
          <w:sz w:val="24"/>
          <w:szCs w:val="24"/>
          <w14:ligatures w14:val="none"/>
        </w:rPr>
        <w:t>, including any finance charge</w:t>
      </w:r>
      <w:r w:rsidRPr="0006790E">
        <w:rPr>
          <w:rFonts w:ascii="Open Sans" w:eastAsia="Times New Roman" w:hAnsi="Open Sans" w:cs="Open Sans"/>
          <w:color w:val="333333"/>
          <w:kern w:val="0"/>
          <w:sz w:val="24"/>
          <w:szCs w:val="24"/>
          <w14:ligatures w14:val="none"/>
        </w:rPr>
        <w:t>.</w:t>
      </w:r>
    </w:p>
    <w:p w14:paraId="5FFB14A9"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(2)</w:t>
      </w:r>
      <w:r w:rsidRPr="0006790E">
        <w:rPr>
          <w:rFonts w:ascii="Open Sans" w:eastAsia="Times New Roman" w:hAnsi="Open Sans" w:cs="Open Sans"/>
          <w:color w:val="333333"/>
          <w:kern w:val="0"/>
          <w:sz w:val="24"/>
          <w:szCs w:val="24"/>
          <w14:ligatures w14:val="none"/>
        </w:rPr>
        <w:t> Within 20 calendar </w:t>
      </w:r>
      <w:hyperlink r:id="rId51" w:history="1">
        <w:r w:rsidRPr="0006790E">
          <w:rPr>
            <w:rFonts w:ascii="Open Sans" w:eastAsia="Times New Roman" w:hAnsi="Open Sans" w:cs="Open Sans"/>
            <w:color w:val="001C72"/>
            <w:kern w:val="0"/>
            <w:sz w:val="24"/>
            <w:szCs w:val="24"/>
            <w:u w:val="single"/>
            <w14:ligatures w14:val="none"/>
          </w:rPr>
          <w:t>days</w:t>
        </w:r>
      </w:hyperlink>
      <w:r w:rsidRPr="0006790E">
        <w:rPr>
          <w:rFonts w:ascii="Open Sans" w:eastAsia="Times New Roman" w:hAnsi="Open Sans" w:cs="Open Sans"/>
          <w:color w:val="333333"/>
          <w:kern w:val="0"/>
          <w:sz w:val="24"/>
          <w:szCs w:val="24"/>
          <w14:ligatures w14:val="none"/>
        </w:rPr>
        <w:t> after receipt of a notice of rescission, the </w:t>
      </w:r>
      <w:hyperlink r:id="rId52"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shall return any money or property that has been given to anyone in connection with the transaction and shall take any action necessary to reflect the termination of the </w:t>
      </w:r>
      <w:hyperlink r:id="rId53" w:history="1">
        <w:r w:rsidRPr="0006790E">
          <w:rPr>
            <w:rFonts w:ascii="Open Sans" w:eastAsia="Times New Roman" w:hAnsi="Open Sans" w:cs="Open Sans"/>
            <w:color w:val="001C72"/>
            <w:kern w:val="0"/>
            <w:sz w:val="24"/>
            <w:szCs w:val="24"/>
            <w:u w:val="single"/>
            <w14:ligatures w14:val="none"/>
          </w:rPr>
          <w:t>security interest</w:t>
        </w:r>
      </w:hyperlink>
      <w:r w:rsidRPr="0006790E">
        <w:rPr>
          <w:rFonts w:ascii="Open Sans" w:eastAsia="Times New Roman" w:hAnsi="Open Sans" w:cs="Open Sans"/>
          <w:color w:val="333333"/>
          <w:kern w:val="0"/>
          <w:sz w:val="24"/>
          <w:szCs w:val="24"/>
          <w14:ligatures w14:val="none"/>
        </w:rPr>
        <w:t>.</w:t>
      </w:r>
    </w:p>
    <w:p w14:paraId="3E546F36"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(3)</w:t>
      </w:r>
      <w:r w:rsidRPr="0006790E">
        <w:rPr>
          <w:rFonts w:ascii="Open Sans" w:eastAsia="Times New Roman" w:hAnsi="Open Sans" w:cs="Open Sans"/>
          <w:color w:val="333333"/>
          <w:kern w:val="0"/>
          <w:sz w:val="24"/>
          <w:szCs w:val="24"/>
          <w14:ligatures w14:val="none"/>
        </w:rPr>
        <w:t> If the </w:t>
      </w:r>
      <w:hyperlink r:id="rId54"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has delivered any money or property, the </w:t>
      </w:r>
      <w:hyperlink r:id="rId55"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may retain possession until the </w:t>
      </w:r>
      <w:hyperlink r:id="rId56"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has met its </w:t>
      </w:r>
      <w:hyperlink r:id="rId57" w:history="1">
        <w:r w:rsidRPr="0006790E">
          <w:rPr>
            <w:rFonts w:ascii="Open Sans" w:eastAsia="Times New Roman" w:hAnsi="Open Sans" w:cs="Open Sans"/>
            <w:color w:val="001C72"/>
            <w:kern w:val="0"/>
            <w:sz w:val="24"/>
            <w:szCs w:val="24"/>
            <w:u w:val="single"/>
            <w14:ligatures w14:val="none"/>
          </w:rPr>
          <w:t>obligation</w:t>
        </w:r>
      </w:hyperlink>
      <w:r w:rsidRPr="0006790E">
        <w:rPr>
          <w:rFonts w:ascii="Open Sans" w:eastAsia="Times New Roman" w:hAnsi="Open Sans" w:cs="Open Sans"/>
          <w:color w:val="333333"/>
          <w:kern w:val="0"/>
          <w:sz w:val="24"/>
          <w:szCs w:val="24"/>
          <w14:ligatures w14:val="none"/>
        </w:rPr>
        <w:t> under </w:t>
      </w:r>
      <w:hyperlink r:id="rId58" w:anchor="d_2" w:history="1">
        <w:r w:rsidRPr="0006790E">
          <w:rPr>
            <w:rFonts w:ascii="Open Sans" w:eastAsia="Times New Roman" w:hAnsi="Open Sans" w:cs="Open Sans"/>
            <w:color w:val="001C72"/>
            <w:kern w:val="0"/>
            <w:sz w:val="24"/>
            <w:szCs w:val="24"/>
            <w:u w:val="single"/>
            <w14:ligatures w14:val="none"/>
          </w:rPr>
          <w:t>paragraph (d)(2)</w:t>
        </w:r>
      </w:hyperlink>
      <w:r w:rsidRPr="0006790E">
        <w:rPr>
          <w:rFonts w:ascii="Open Sans" w:eastAsia="Times New Roman" w:hAnsi="Open Sans" w:cs="Open Sans"/>
          <w:color w:val="333333"/>
          <w:kern w:val="0"/>
          <w:sz w:val="24"/>
          <w:szCs w:val="24"/>
          <w14:ligatures w14:val="none"/>
        </w:rPr>
        <w:t> of this section. When the </w:t>
      </w:r>
      <w:hyperlink r:id="rId59"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has complied with that paragraph, the </w:t>
      </w:r>
      <w:hyperlink r:id="rId60"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xml:space="preserve"> shall </w:t>
      </w:r>
      <w:r w:rsidRPr="0006790E">
        <w:rPr>
          <w:rFonts w:ascii="Open Sans" w:eastAsia="Times New Roman" w:hAnsi="Open Sans" w:cs="Open Sans"/>
          <w:color w:val="333333"/>
          <w:kern w:val="0"/>
          <w:sz w:val="24"/>
          <w:szCs w:val="24"/>
          <w14:ligatures w14:val="none"/>
        </w:rPr>
        <w:lastRenderedPageBreak/>
        <w:t>tender the money or property to the </w:t>
      </w:r>
      <w:hyperlink r:id="rId61"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or, where the latter would be impracticable or inequitable, tender its reasonable value. At the </w:t>
      </w:r>
      <w:hyperlink r:id="rId62"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option, tender of property may be made at the location of the property or at the </w:t>
      </w:r>
      <w:hyperlink r:id="rId63"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residence. Tender of money must be made at the </w:t>
      </w:r>
      <w:hyperlink r:id="rId64"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's designated place of business. If the </w:t>
      </w:r>
      <w:hyperlink r:id="rId65"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does not take possession of the money or property within 20 calendar </w:t>
      </w:r>
      <w:hyperlink r:id="rId66" w:history="1">
        <w:r w:rsidRPr="0006790E">
          <w:rPr>
            <w:rFonts w:ascii="Open Sans" w:eastAsia="Times New Roman" w:hAnsi="Open Sans" w:cs="Open Sans"/>
            <w:color w:val="001C72"/>
            <w:kern w:val="0"/>
            <w:sz w:val="24"/>
            <w:szCs w:val="24"/>
            <w:u w:val="single"/>
            <w14:ligatures w14:val="none"/>
          </w:rPr>
          <w:t>days</w:t>
        </w:r>
      </w:hyperlink>
      <w:r w:rsidRPr="0006790E">
        <w:rPr>
          <w:rFonts w:ascii="Open Sans" w:eastAsia="Times New Roman" w:hAnsi="Open Sans" w:cs="Open Sans"/>
          <w:color w:val="333333"/>
          <w:kern w:val="0"/>
          <w:sz w:val="24"/>
          <w:szCs w:val="24"/>
          <w14:ligatures w14:val="none"/>
        </w:rPr>
        <w:t> after the </w:t>
      </w:r>
      <w:hyperlink r:id="rId67"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tender, the </w:t>
      </w:r>
      <w:hyperlink r:id="rId68"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may keep it without further </w:t>
      </w:r>
      <w:hyperlink r:id="rId69" w:history="1">
        <w:r w:rsidRPr="0006790E">
          <w:rPr>
            <w:rFonts w:ascii="Open Sans" w:eastAsia="Times New Roman" w:hAnsi="Open Sans" w:cs="Open Sans"/>
            <w:color w:val="001C72"/>
            <w:kern w:val="0"/>
            <w:sz w:val="24"/>
            <w:szCs w:val="24"/>
            <w:u w:val="single"/>
            <w14:ligatures w14:val="none"/>
          </w:rPr>
          <w:t>obligation</w:t>
        </w:r>
      </w:hyperlink>
      <w:r w:rsidRPr="0006790E">
        <w:rPr>
          <w:rFonts w:ascii="Open Sans" w:eastAsia="Times New Roman" w:hAnsi="Open Sans" w:cs="Open Sans"/>
          <w:color w:val="333333"/>
          <w:kern w:val="0"/>
          <w:sz w:val="24"/>
          <w:szCs w:val="24"/>
          <w14:ligatures w14:val="none"/>
        </w:rPr>
        <w:t>.</w:t>
      </w:r>
    </w:p>
    <w:p w14:paraId="483B3FF6"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(4)</w:t>
      </w:r>
      <w:r w:rsidRPr="0006790E">
        <w:rPr>
          <w:rFonts w:ascii="Open Sans" w:eastAsia="Times New Roman" w:hAnsi="Open Sans" w:cs="Open Sans"/>
          <w:color w:val="333333"/>
          <w:kern w:val="0"/>
          <w:sz w:val="24"/>
          <w:szCs w:val="24"/>
          <w14:ligatures w14:val="none"/>
        </w:rPr>
        <w:t> The procedures outlined in paragraphs (d) (2) and (3) of this section may be modified by court order.</w:t>
      </w:r>
    </w:p>
    <w:p w14:paraId="241195F0" w14:textId="77777777" w:rsidR="0006790E" w:rsidRPr="0006790E" w:rsidRDefault="0006790E" w:rsidP="0006790E">
      <w:pPr>
        <w:shd w:val="clear" w:color="auto" w:fill="FFFFFF"/>
        <w:spacing w:before="150"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(e)</w:t>
      </w:r>
      <w:r w:rsidRPr="0006790E">
        <w:rPr>
          <w:rFonts w:ascii="Open Sans" w:eastAsia="Times New Roman" w:hAnsi="Open Sans" w:cs="Open Sans"/>
          <w:color w:val="333333"/>
          <w:kern w:val="0"/>
          <w:sz w:val="24"/>
          <w:szCs w:val="24"/>
          <w14:ligatures w14:val="none"/>
        </w:rPr>
        <w:t> </w:t>
      </w:r>
      <w:r w:rsidRPr="0006790E">
        <w:rPr>
          <w:rFonts w:ascii="Open Sans" w:eastAsia="Times New Roman" w:hAnsi="Open Sans" w:cs="Open Sans"/>
          <w:b/>
          <w:bCs/>
          <w:i/>
          <w:iCs/>
          <w:color w:val="333333"/>
          <w:kern w:val="0"/>
          <w:sz w:val="24"/>
          <w:szCs w:val="24"/>
          <w14:ligatures w14:val="none"/>
        </w:rPr>
        <w:t>Consumer's waiver of right to rescind.</w:t>
      </w:r>
    </w:p>
    <w:p w14:paraId="51B1DC4C"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(1)</w:t>
      </w:r>
      <w:r w:rsidRPr="0006790E">
        <w:rPr>
          <w:rFonts w:ascii="Open Sans" w:eastAsia="Times New Roman" w:hAnsi="Open Sans" w:cs="Open Sans"/>
          <w:color w:val="333333"/>
          <w:kern w:val="0"/>
          <w:sz w:val="24"/>
          <w:szCs w:val="24"/>
          <w14:ligatures w14:val="none"/>
        </w:rPr>
        <w:t> The </w:t>
      </w:r>
      <w:hyperlink r:id="rId70"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may modify or waive the right to rescind if the </w:t>
      </w:r>
      <w:hyperlink r:id="rId71"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determines that the extension of </w:t>
      </w:r>
      <w:hyperlink r:id="rId72" w:history="1">
        <w:r w:rsidRPr="0006790E">
          <w:rPr>
            <w:rFonts w:ascii="Open Sans" w:eastAsia="Times New Roman" w:hAnsi="Open Sans" w:cs="Open Sans"/>
            <w:color w:val="001C72"/>
            <w:kern w:val="0"/>
            <w:sz w:val="24"/>
            <w:szCs w:val="24"/>
            <w:u w:val="single"/>
            <w14:ligatures w14:val="none"/>
          </w:rPr>
          <w:t>credit</w:t>
        </w:r>
      </w:hyperlink>
      <w:r w:rsidRPr="0006790E">
        <w:rPr>
          <w:rFonts w:ascii="Open Sans" w:eastAsia="Times New Roman" w:hAnsi="Open Sans" w:cs="Open Sans"/>
          <w:color w:val="333333"/>
          <w:kern w:val="0"/>
          <w:sz w:val="24"/>
          <w:szCs w:val="24"/>
          <w14:ligatures w14:val="none"/>
        </w:rPr>
        <w:t> is needed to meet a bona fide personal financial emergency. To modify or waive the right, the </w:t>
      </w:r>
      <w:hyperlink r:id="rId73"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shall give the </w:t>
      </w:r>
      <w:hyperlink r:id="rId74"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a dated written statement that describes the emergency, specifically modifies or waives the right to rescind, and bears the signature of all the </w:t>
      </w:r>
      <w:hyperlink r:id="rId75" w:history="1">
        <w:r w:rsidRPr="0006790E">
          <w:rPr>
            <w:rFonts w:ascii="Open Sans" w:eastAsia="Times New Roman" w:hAnsi="Open Sans" w:cs="Open Sans"/>
            <w:color w:val="001C72"/>
            <w:kern w:val="0"/>
            <w:sz w:val="24"/>
            <w:szCs w:val="24"/>
            <w:u w:val="single"/>
            <w14:ligatures w14:val="none"/>
          </w:rPr>
          <w:t>consumers</w:t>
        </w:r>
      </w:hyperlink>
      <w:r w:rsidRPr="0006790E">
        <w:rPr>
          <w:rFonts w:ascii="Open Sans" w:eastAsia="Times New Roman" w:hAnsi="Open Sans" w:cs="Open Sans"/>
          <w:color w:val="333333"/>
          <w:kern w:val="0"/>
          <w:sz w:val="24"/>
          <w:szCs w:val="24"/>
          <w14:ligatures w14:val="none"/>
        </w:rPr>
        <w:t> entitled to rescind. Printed forms for this purpose are prohibited, except as provided in </w:t>
      </w:r>
      <w:hyperlink r:id="rId76" w:anchor="e_2" w:history="1">
        <w:r w:rsidRPr="0006790E">
          <w:rPr>
            <w:rFonts w:ascii="Open Sans" w:eastAsia="Times New Roman" w:hAnsi="Open Sans" w:cs="Open Sans"/>
            <w:color w:val="001C72"/>
            <w:kern w:val="0"/>
            <w:sz w:val="24"/>
            <w:szCs w:val="24"/>
            <w:u w:val="single"/>
            <w14:ligatures w14:val="none"/>
          </w:rPr>
          <w:t>paragraph (e)(2)</w:t>
        </w:r>
      </w:hyperlink>
      <w:r w:rsidRPr="0006790E">
        <w:rPr>
          <w:rFonts w:ascii="Open Sans" w:eastAsia="Times New Roman" w:hAnsi="Open Sans" w:cs="Open Sans"/>
          <w:color w:val="333333"/>
          <w:kern w:val="0"/>
          <w:sz w:val="24"/>
          <w:szCs w:val="24"/>
          <w14:ligatures w14:val="none"/>
        </w:rPr>
        <w:t> of this section.</w:t>
      </w:r>
    </w:p>
    <w:p w14:paraId="2F5D2DB8"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(2)</w:t>
      </w:r>
      <w:r w:rsidRPr="0006790E">
        <w:rPr>
          <w:rFonts w:ascii="Open Sans" w:eastAsia="Times New Roman" w:hAnsi="Open Sans" w:cs="Open Sans"/>
          <w:color w:val="333333"/>
          <w:kern w:val="0"/>
          <w:sz w:val="24"/>
          <w:szCs w:val="24"/>
          <w14:ligatures w14:val="none"/>
        </w:rPr>
        <w:t> The need of the </w:t>
      </w:r>
      <w:hyperlink r:id="rId77"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to obtain funds immediately shall be regarded as a bona fide personal financial emergency provided that the </w:t>
      </w:r>
      <w:hyperlink r:id="rId78" w:history="1">
        <w:r w:rsidRPr="0006790E">
          <w:rPr>
            <w:rFonts w:ascii="Open Sans" w:eastAsia="Times New Roman" w:hAnsi="Open Sans" w:cs="Open Sans"/>
            <w:color w:val="001C72"/>
            <w:kern w:val="0"/>
            <w:sz w:val="24"/>
            <w:szCs w:val="24"/>
            <w:u w:val="single"/>
            <w14:ligatures w14:val="none"/>
          </w:rPr>
          <w:t>dwelling</w:t>
        </w:r>
      </w:hyperlink>
      <w:r w:rsidRPr="0006790E">
        <w:rPr>
          <w:rFonts w:ascii="Open Sans" w:eastAsia="Times New Roman" w:hAnsi="Open Sans" w:cs="Open Sans"/>
          <w:color w:val="333333"/>
          <w:kern w:val="0"/>
          <w:sz w:val="24"/>
          <w:szCs w:val="24"/>
          <w14:ligatures w14:val="none"/>
        </w:rPr>
        <w:t> securing the extension of </w:t>
      </w:r>
      <w:hyperlink r:id="rId79" w:history="1">
        <w:r w:rsidRPr="0006790E">
          <w:rPr>
            <w:rFonts w:ascii="Open Sans" w:eastAsia="Times New Roman" w:hAnsi="Open Sans" w:cs="Open Sans"/>
            <w:color w:val="001C72"/>
            <w:kern w:val="0"/>
            <w:sz w:val="24"/>
            <w:szCs w:val="24"/>
            <w:u w:val="single"/>
            <w14:ligatures w14:val="none"/>
          </w:rPr>
          <w:t>credit</w:t>
        </w:r>
      </w:hyperlink>
      <w:r w:rsidRPr="0006790E">
        <w:rPr>
          <w:rFonts w:ascii="Open Sans" w:eastAsia="Times New Roman" w:hAnsi="Open Sans" w:cs="Open Sans"/>
          <w:color w:val="333333"/>
          <w:kern w:val="0"/>
          <w:sz w:val="24"/>
          <w:szCs w:val="24"/>
          <w14:ligatures w14:val="none"/>
        </w:rPr>
        <w:t> is located in an area declared during June through September 1993, pursuant to </w:t>
      </w:r>
      <w:hyperlink r:id="rId80" w:history="1">
        <w:r w:rsidRPr="0006790E">
          <w:rPr>
            <w:rFonts w:ascii="Open Sans" w:eastAsia="Times New Roman" w:hAnsi="Open Sans" w:cs="Open Sans"/>
            <w:color w:val="001C72"/>
            <w:kern w:val="0"/>
            <w:sz w:val="24"/>
            <w:szCs w:val="24"/>
            <w:u w:val="single"/>
            <w14:ligatures w14:val="none"/>
          </w:rPr>
          <w:t>42 U.S.C. 5170</w:t>
        </w:r>
      </w:hyperlink>
      <w:r w:rsidRPr="0006790E">
        <w:rPr>
          <w:rFonts w:ascii="Open Sans" w:eastAsia="Times New Roman" w:hAnsi="Open Sans" w:cs="Open Sans"/>
          <w:color w:val="333333"/>
          <w:kern w:val="0"/>
          <w:sz w:val="24"/>
          <w:szCs w:val="24"/>
          <w14:ligatures w14:val="none"/>
        </w:rPr>
        <w:t>, to be a major disaster area because of severe storms and flooding in the Midwest. </w:t>
      </w:r>
      <w:r w:rsidRPr="0006790E">
        <w:rPr>
          <w:rFonts w:ascii="Open Sans" w:eastAsia="Times New Roman" w:hAnsi="Open Sans" w:cs="Open Sans"/>
          <w:color w:val="333333"/>
          <w:kern w:val="0"/>
          <w:sz w:val="17"/>
          <w:szCs w:val="17"/>
          <w14:ligatures w14:val="none"/>
        </w:rPr>
        <w:t>48a</w:t>
      </w:r>
      <w:r w:rsidRPr="0006790E">
        <w:rPr>
          <w:rFonts w:ascii="Open Sans" w:eastAsia="Times New Roman" w:hAnsi="Open Sans" w:cs="Open Sans"/>
          <w:color w:val="333333"/>
          <w:kern w:val="0"/>
          <w:sz w:val="24"/>
          <w:szCs w:val="24"/>
          <w14:ligatures w14:val="none"/>
        </w:rPr>
        <w:t> In this instance, </w:t>
      </w:r>
      <w:hyperlink r:id="rId81" w:history="1">
        <w:r w:rsidRPr="0006790E">
          <w:rPr>
            <w:rFonts w:ascii="Open Sans" w:eastAsia="Times New Roman" w:hAnsi="Open Sans" w:cs="Open Sans"/>
            <w:color w:val="001C72"/>
            <w:kern w:val="0"/>
            <w:sz w:val="24"/>
            <w:szCs w:val="24"/>
            <w:u w:val="single"/>
            <w14:ligatures w14:val="none"/>
          </w:rPr>
          <w:t>creditors</w:t>
        </w:r>
      </w:hyperlink>
      <w:r w:rsidRPr="0006790E">
        <w:rPr>
          <w:rFonts w:ascii="Open Sans" w:eastAsia="Times New Roman" w:hAnsi="Open Sans" w:cs="Open Sans"/>
          <w:color w:val="333333"/>
          <w:kern w:val="0"/>
          <w:sz w:val="24"/>
          <w:szCs w:val="24"/>
          <w14:ligatures w14:val="none"/>
        </w:rPr>
        <w:t> may use printed forms for the </w:t>
      </w:r>
      <w:hyperlink r:id="rId82"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to waive the right to rescind. This exemption to </w:t>
      </w:r>
      <w:hyperlink r:id="rId83" w:anchor="e_1" w:history="1">
        <w:r w:rsidRPr="0006790E">
          <w:rPr>
            <w:rFonts w:ascii="Open Sans" w:eastAsia="Times New Roman" w:hAnsi="Open Sans" w:cs="Open Sans"/>
            <w:color w:val="001C72"/>
            <w:kern w:val="0"/>
            <w:sz w:val="24"/>
            <w:szCs w:val="24"/>
            <w:u w:val="single"/>
            <w14:ligatures w14:val="none"/>
          </w:rPr>
          <w:t>paragraph (e)(1)</w:t>
        </w:r>
      </w:hyperlink>
      <w:r w:rsidRPr="0006790E">
        <w:rPr>
          <w:rFonts w:ascii="Open Sans" w:eastAsia="Times New Roman" w:hAnsi="Open Sans" w:cs="Open Sans"/>
          <w:color w:val="333333"/>
          <w:kern w:val="0"/>
          <w:sz w:val="24"/>
          <w:szCs w:val="24"/>
          <w14:ligatures w14:val="none"/>
        </w:rPr>
        <w:t> of this section shall expire one year from the date an area was declared a major disaster.</w:t>
      </w:r>
    </w:p>
    <w:p w14:paraId="24AFCB14" w14:textId="77777777" w:rsidR="0006790E" w:rsidRPr="0006790E" w:rsidRDefault="0006790E" w:rsidP="0006790E">
      <w:pPr>
        <w:shd w:val="clear" w:color="auto" w:fill="FFFFFF"/>
        <w:spacing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color w:val="333333"/>
          <w:kern w:val="0"/>
          <w:sz w:val="17"/>
          <w:szCs w:val="17"/>
          <w14:ligatures w14:val="none"/>
        </w:rPr>
        <w:t>48a</w:t>
      </w:r>
      <w:r w:rsidRPr="0006790E">
        <w:rPr>
          <w:rFonts w:ascii="Open Sans" w:eastAsia="Times New Roman" w:hAnsi="Open Sans" w:cs="Open Sans"/>
          <w:color w:val="333333"/>
          <w:kern w:val="0"/>
          <w:sz w:val="24"/>
          <w:szCs w:val="24"/>
          <w14:ligatures w14:val="none"/>
        </w:rPr>
        <w:t> A list of the affected areas will be maintained by the </w:t>
      </w:r>
      <w:hyperlink r:id="rId84" w:history="1">
        <w:r w:rsidRPr="0006790E">
          <w:rPr>
            <w:rFonts w:ascii="Open Sans" w:eastAsia="Times New Roman" w:hAnsi="Open Sans" w:cs="Open Sans"/>
            <w:color w:val="001C72"/>
            <w:kern w:val="0"/>
            <w:sz w:val="24"/>
            <w:szCs w:val="24"/>
            <w:u w:val="single"/>
            <w14:ligatures w14:val="none"/>
          </w:rPr>
          <w:t>Board</w:t>
        </w:r>
      </w:hyperlink>
      <w:r w:rsidRPr="0006790E">
        <w:rPr>
          <w:rFonts w:ascii="Open Sans" w:eastAsia="Times New Roman" w:hAnsi="Open Sans" w:cs="Open Sans"/>
          <w:color w:val="333333"/>
          <w:kern w:val="0"/>
          <w:sz w:val="24"/>
          <w:szCs w:val="24"/>
          <w14:ligatures w14:val="none"/>
        </w:rPr>
        <w:t>.</w:t>
      </w:r>
    </w:p>
    <w:p w14:paraId="070E92F0"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(3)</w:t>
      </w:r>
      <w:r w:rsidRPr="0006790E">
        <w:rPr>
          <w:rFonts w:ascii="Open Sans" w:eastAsia="Times New Roman" w:hAnsi="Open Sans" w:cs="Open Sans"/>
          <w:color w:val="333333"/>
          <w:kern w:val="0"/>
          <w:sz w:val="24"/>
          <w:szCs w:val="24"/>
          <w14:ligatures w14:val="none"/>
        </w:rPr>
        <w:t> The </w:t>
      </w:r>
      <w:hyperlink r:id="rId85"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need to obtain funds immediately shall be regarded as a bona fide personal financial emergency provided that the </w:t>
      </w:r>
      <w:hyperlink r:id="rId86" w:history="1">
        <w:r w:rsidRPr="0006790E">
          <w:rPr>
            <w:rFonts w:ascii="Open Sans" w:eastAsia="Times New Roman" w:hAnsi="Open Sans" w:cs="Open Sans"/>
            <w:color w:val="001C72"/>
            <w:kern w:val="0"/>
            <w:sz w:val="24"/>
            <w:szCs w:val="24"/>
            <w:u w:val="single"/>
            <w14:ligatures w14:val="none"/>
          </w:rPr>
          <w:t>dwelling</w:t>
        </w:r>
      </w:hyperlink>
      <w:r w:rsidRPr="0006790E">
        <w:rPr>
          <w:rFonts w:ascii="Open Sans" w:eastAsia="Times New Roman" w:hAnsi="Open Sans" w:cs="Open Sans"/>
          <w:color w:val="333333"/>
          <w:kern w:val="0"/>
          <w:sz w:val="24"/>
          <w:szCs w:val="24"/>
          <w14:ligatures w14:val="none"/>
        </w:rPr>
        <w:t> securing the extension of </w:t>
      </w:r>
      <w:hyperlink r:id="rId87" w:history="1">
        <w:r w:rsidRPr="0006790E">
          <w:rPr>
            <w:rFonts w:ascii="Open Sans" w:eastAsia="Times New Roman" w:hAnsi="Open Sans" w:cs="Open Sans"/>
            <w:color w:val="001C72"/>
            <w:kern w:val="0"/>
            <w:sz w:val="24"/>
            <w:szCs w:val="24"/>
            <w:u w:val="single"/>
            <w14:ligatures w14:val="none"/>
          </w:rPr>
          <w:t>credit</w:t>
        </w:r>
      </w:hyperlink>
      <w:r w:rsidRPr="0006790E">
        <w:rPr>
          <w:rFonts w:ascii="Open Sans" w:eastAsia="Times New Roman" w:hAnsi="Open Sans" w:cs="Open Sans"/>
          <w:color w:val="333333"/>
          <w:kern w:val="0"/>
          <w:sz w:val="24"/>
          <w:szCs w:val="24"/>
          <w14:ligatures w14:val="none"/>
        </w:rPr>
        <w:t> is located in an area declared during June through September 1994 to be a major disaster area, pursuant to </w:t>
      </w:r>
      <w:hyperlink r:id="rId88" w:history="1">
        <w:r w:rsidRPr="0006790E">
          <w:rPr>
            <w:rFonts w:ascii="Open Sans" w:eastAsia="Times New Roman" w:hAnsi="Open Sans" w:cs="Open Sans"/>
            <w:color w:val="001C72"/>
            <w:kern w:val="0"/>
            <w:sz w:val="24"/>
            <w:szCs w:val="24"/>
            <w:u w:val="single"/>
            <w14:ligatures w14:val="none"/>
          </w:rPr>
          <w:t>42 U.S.C. 5170</w:t>
        </w:r>
      </w:hyperlink>
      <w:r w:rsidRPr="0006790E">
        <w:rPr>
          <w:rFonts w:ascii="Open Sans" w:eastAsia="Times New Roman" w:hAnsi="Open Sans" w:cs="Open Sans"/>
          <w:color w:val="333333"/>
          <w:kern w:val="0"/>
          <w:sz w:val="24"/>
          <w:szCs w:val="24"/>
          <w14:ligatures w14:val="none"/>
        </w:rPr>
        <w:t>, because of severe storms and flooding in the South. </w:t>
      </w:r>
      <w:r w:rsidRPr="0006790E">
        <w:rPr>
          <w:rFonts w:ascii="Open Sans" w:eastAsia="Times New Roman" w:hAnsi="Open Sans" w:cs="Open Sans"/>
          <w:color w:val="333333"/>
          <w:kern w:val="0"/>
          <w:sz w:val="17"/>
          <w:szCs w:val="17"/>
          <w14:ligatures w14:val="none"/>
        </w:rPr>
        <w:t>48b</w:t>
      </w:r>
      <w:r w:rsidRPr="0006790E">
        <w:rPr>
          <w:rFonts w:ascii="Open Sans" w:eastAsia="Times New Roman" w:hAnsi="Open Sans" w:cs="Open Sans"/>
          <w:color w:val="333333"/>
          <w:kern w:val="0"/>
          <w:sz w:val="24"/>
          <w:szCs w:val="24"/>
          <w14:ligatures w14:val="none"/>
        </w:rPr>
        <w:t> In this instance, </w:t>
      </w:r>
      <w:hyperlink r:id="rId89" w:history="1">
        <w:r w:rsidRPr="0006790E">
          <w:rPr>
            <w:rFonts w:ascii="Open Sans" w:eastAsia="Times New Roman" w:hAnsi="Open Sans" w:cs="Open Sans"/>
            <w:color w:val="001C72"/>
            <w:kern w:val="0"/>
            <w:sz w:val="24"/>
            <w:szCs w:val="24"/>
            <w:u w:val="single"/>
            <w14:ligatures w14:val="none"/>
          </w:rPr>
          <w:t>creditors</w:t>
        </w:r>
      </w:hyperlink>
      <w:r w:rsidRPr="0006790E">
        <w:rPr>
          <w:rFonts w:ascii="Open Sans" w:eastAsia="Times New Roman" w:hAnsi="Open Sans" w:cs="Open Sans"/>
          <w:color w:val="333333"/>
          <w:kern w:val="0"/>
          <w:sz w:val="24"/>
          <w:szCs w:val="24"/>
          <w14:ligatures w14:val="none"/>
        </w:rPr>
        <w:t> may use printed forms for the </w:t>
      </w:r>
      <w:hyperlink r:id="rId90"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to waive the right to rescind. This exemption to </w:t>
      </w:r>
      <w:hyperlink r:id="rId91" w:anchor="e_1" w:history="1">
        <w:r w:rsidRPr="0006790E">
          <w:rPr>
            <w:rFonts w:ascii="Open Sans" w:eastAsia="Times New Roman" w:hAnsi="Open Sans" w:cs="Open Sans"/>
            <w:color w:val="001C72"/>
            <w:kern w:val="0"/>
            <w:sz w:val="24"/>
            <w:szCs w:val="24"/>
            <w:u w:val="single"/>
            <w14:ligatures w14:val="none"/>
          </w:rPr>
          <w:t>paragraph (e)(1)</w:t>
        </w:r>
      </w:hyperlink>
      <w:r w:rsidRPr="0006790E">
        <w:rPr>
          <w:rFonts w:ascii="Open Sans" w:eastAsia="Times New Roman" w:hAnsi="Open Sans" w:cs="Open Sans"/>
          <w:color w:val="333333"/>
          <w:kern w:val="0"/>
          <w:sz w:val="24"/>
          <w:szCs w:val="24"/>
          <w14:ligatures w14:val="none"/>
        </w:rPr>
        <w:t> of this section shall expire one year from the date an area was declared a major disaster.</w:t>
      </w:r>
    </w:p>
    <w:p w14:paraId="5527BE67" w14:textId="77777777" w:rsidR="0006790E" w:rsidRPr="0006790E" w:rsidRDefault="0006790E" w:rsidP="0006790E">
      <w:pPr>
        <w:shd w:val="clear" w:color="auto" w:fill="FFFFFF"/>
        <w:spacing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color w:val="333333"/>
          <w:kern w:val="0"/>
          <w:sz w:val="17"/>
          <w:szCs w:val="17"/>
          <w14:ligatures w14:val="none"/>
        </w:rPr>
        <w:t>48b</w:t>
      </w:r>
      <w:r w:rsidRPr="0006790E">
        <w:rPr>
          <w:rFonts w:ascii="Open Sans" w:eastAsia="Times New Roman" w:hAnsi="Open Sans" w:cs="Open Sans"/>
          <w:color w:val="333333"/>
          <w:kern w:val="0"/>
          <w:sz w:val="24"/>
          <w:szCs w:val="24"/>
          <w14:ligatures w14:val="none"/>
        </w:rPr>
        <w:t> A list of the affected areas will be maintained and published by the </w:t>
      </w:r>
      <w:hyperlink r:id="rId92" w:history="1">
        <w:r w:rsidRPr="0006790E">
          <w:rPr>
            <w:rFonts w:ascii="Open Sans" w:eastAsia="Times New Roman" w:hAnsi="Open Sans" w:cs="Open Sans"/>
            <w:color w:val="001C72"/>
            <w:kern w:val="0"/>
            <w:sz w:val="24"/>
            <w:szCs w:val="24"/>
            <w:u w:val="single"/>
            <w14:ligatures w14:val="none"/>
          </w:rPr>
          <w:t>Board</w:t>
        </w:r>
      </w:hyperlink>
      <w:r w:rsidRPr="0006790E">
        <w:rPr>
          <w:rFonts w:ascii="Open Sans" w:eastAsia="Times New Roman" w:hAnsi="Open Sans" w:cs="Open Sans"/>
          <w:color w:val="333333"/>
          <w:kern w:val="0"/>
          <w:sz w:val="24"/>
          <w:szCs w:val="24"/>
          <w14:ligatures w14:val="none"/>
        </w:rPr>
        <w:t>. Such areas now include parts of Alabama, Florida, and Georgia.</w:t>
      </w:r>
    </w:p>
    <w:p w14:paraId="70C05E9D"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lastRenderedPageBreak/>
        <w:t>(4)</w:t>
      </w:r>
      <w:r w:rsidRPr="0006790E">
        <w:rPr>
          <w:rFonts w:ascii="Open Sans" w:eastAsia="Times New Roman" w:hAnsi="Open Sans" w:cs="Open Sans"/>
          <w:color w:val="333333"/>
          <w:kern w:val="0"/>
          <w:sz w:val="24"/>
          <w:szCs w:val="24"/>
          <w14:ligatures w14:val="none"/>
        </w:rPr>
        <w:t> The </w:t>
      </w:r>
      <w:hyperlink r:id="rId93"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need to obtain funds immediately shall be regarded as a bona fide personal financial emergency provided that the </w:t>
      </w:r>
      <w:hyperlink r:id="rId94" w:history="1">
        <w:r w:rsidRPr="0006790E">
          <w:rPr>
            <w:rFonts w:ascii="Open Sans" w:eastAsia="Times New Roman" w:hAnsi="Open Sans" w:cs="Open Sans"/>
            <w:color w:val="001C72"/>
            <w:kern w:val="0"/>
            <w:sz w:val="24"/>
            <w:szCs w:val="24"/>
            <w:u w:val="single"/>
            <w14:ligatures w14:val="none"/>
          </w:rPr>
          <w:t>dwelling</w:t>
        </w:r>
      </w:hyperlink>
      <w:r w:rsidRPr="0006790E">
        <w:rPr>
          <w:rFonts w:ascii="Open Sans" w:eastAsia="Times New Roman" w:hAnsi="Open Sans" w:cs="Open Sans"/>
          <w:color w:val="333333"/>
          <w:kern w:val="0"/>
          <w:sz w:val="24"/>
          <w:szCs w:val="24"/>
          <w14:ligatures w14:val="none"/>
        </w:rPr>
        <w:t> securing the extension of </w:t>
      </w:r>
      <w:hyperlink r:id="rId95" w:history="1">
        <w:r w:rsidRPr="0006790E">
          <w:rPr>
            <w:rFonts w:ascii="Open Sans" w:eastAsia="Times New Roman" w:hAnsi="Open Sans" w:cs="Open Sans"/>
            <w:color w:val="001C72"/>
            <w:kern w:val="0"/>
            <w:sz w:val="24"/>
            <w:szCs w:val="24"/>
            <w:u w:val="single"/>
            <w14:ligatures w14:val="none"/>
          </w:rPr>
          <w:t>credit</w:t>
        </w:r>
      </w:hyperlink>
      <w:r w:rsidRPr="0006790E">
        <w:rPr>
          <w:rFonts w:ascii="Open Sans" w:eastAsia="Times New Roman" w:hAnsi="Open Sans" w:cs="Open Sans"/>
          <w:color w:val="333333"/>
          <w:kern w:val="0"/>
          <w:sz w:val="24"/>
          <w:szCs w:val="24"/>
          <w14:ligatures w14:val="none"/>
        </w:rPr>
        <w:t> is located in an area declared during October 1994 to be a major disaster area, pursuant to </w:t>
      </w:r>
      <w:hyperlink r:id="rId96" w:history="1">
        <w:r w:rsidRPr="0006790E">
          <w:rPr>
            <w:rFonts w:ascii="Open Sans" w:eastAsia="Times New Roman" w:hAnsi="Open Sans" w:cs="Open Sans"/>
            <w:color w:val="001C72"/>
            <w:kern w:val="0"/>
            <w:sz w:val="24"/>
            <w:szCs w:val="24"/>
            <w:u w:val="single"/>
            <w14:ligatures w14:val="none"/>
          </w:rPr>
          <w:t>42 U.S.C. 5170</w:t>
        </w:r>
      </w:hyperlink>
      <w:r w:rsidRPr="0006790E">
        <w:rPr>
          <w:rFonts w:ascii="Open Sans" w:eastAsia="Times New Roman" w:hAnsi="Open Sans" w:cs="Open Sans"/>
          <w:color w:val="333333"/>
          <w:kern w:val="0"/>
          <w:sz w:val="24"/>
          <w:szCs w:val="24"/>
          <w14:ligatures w14:val="none"/>
        </w:rPr>
        <w:t>, because of severe storms and flooding in Texas. </w:t>
      </w:r>
      <w:r w:rsidRPr="0006790E">
        <w:rPr>
          <w:rFonts w:ascii="Open Sans" w:eastAsia="Times New Roman" w:hAnsi="Open Sans" w:cs="Open Sans"/>
          <w:color w:val="333333"/>
          <w:kern w:val="0"/>
          <w:sz w:val="17"/>
          <w:szCs w:val="17"/>
          <w14:ligatures w14:val="none"/>
        </w:rPr>
        <w:t>48c</w:t>
      </w:r>
      <w:r w:rsidRPr="0006790E">
        <w:rPr>
          <w:rFonts w:ascii="Open Sans" w:eastAsia="Times New Roman" w:hAnsi="Open Sans" w:cs="Open Sans"/>
          <w:color w:val="333333"/>
          <w:kern w:val="0"/>
          <w:sz w:val="24"/>
          <w:szCs w:val="24"/>
          <w14:ligatures w14:val="none"/>
        </w:rPr>
        <w:t> In this instance, </w:t>
      </w:r>
      <w:hyperlink r:id="rId97" w:history="1">
        <w:r w:rsidRPr="0006790E">
          <w:rPr>
            <w:rFonts w:ascii="Open Sans" w:eastAsia="Times New Roman" w:hAnsi="Open Sans" w:cs="Open Sans"/>
            <w:color w:val="001C72"/>
            <w:kern w:val="0"/>
            <w:sz w:val="24"/>
            <w:szCs w:val="24"/>
            <w:u w:val="single"/>
            <w14:ligatures w14:val="none"/>
          </w:rPr>
          <w:t>creditors</w:t>
        </w:r>
      </w:hyperlink>
      <w:r w:rsidRPr="0006790E">
        <w:rPr>
          <w:rFonts w:ascii="Open Sans" w:eastAsia="Times New Roman" w:hAnsi="Open Sans" w:cs="Open Sans"/>
          <w:color w:val="333333"/>
          <w:kern w:val="0"/>
          <w:sz w:val="24"/>
          <w:szCs w:val="24"/>
          <w14:ligatures w14:val="none"/>
        </w:rPr>
        <w:t> may use printed forms for the </w:t>
      </w:r>
      <w:hyperlink r:id="rId98"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to waive the right to rescind. This exemption to </w:t>
      </w:r>
      <w:hyperlink r:id="rId99" w:anchor="e_1" w:history="1">
        <w:r w:rsidRPr="0006790E">
          <w:rPr>
            <w:rFonts w:ascii="Open Sans" w:eastAsia="Times New Roman" w:hAnsi="Open Sans" w:cs="Open Sans"/>
            <w:color w:val="001C72"/>
            <w:kern w:val="0"/>
            <w:sz w:val="24"/>
            <w:szCs w:val="24"/>
            <w:u w:val="single"/>
            <w14:ligatures w14:val="none"/>
          </w:rPr>
          <w:t>paragraph (e)(1)</w:t>
        </w:r>
      </w:hyperlink>
      <w:r w:rsidRPr="0006790E">
        <w:rPr>
          <w:rFonts w:ascii="Open Sans" w:eastAsia="Times New Roman" w:hAnsi="Open Sans" w:cs="Open Sans"/>
          <w:color w:val="333333"/>
          <w:kern w:val="0"/>
          <w:sz w:val="24"/>
          <w:szCs w:val="24"/>
          <w14:ligatures w14:val="none"/>
        </w:rPr>
        <w:t> of this section shall expire one year from the date an area was declared a major disaster.</w:t>
      </w:r>
    </w:p>
    <w:p w14:paraId="1EFAAE24" w14:textId="77777777" w:rsidR="0006790E" w:rsidRPr="0006790E" w:rsidRDefault="0006790E" w:rsidP="0006790E">
      <w:pPr>
        <w:shd w:val="clear" w:color="auto" w:fill="FFFFFF"/>
        <w:spacing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color w:val="333333"/>
          <w:kern w:val="0"/>
          <w:sz w:val="17"/>
          <w:szCs w:val="17"/>
          <w14:ligatures w14:val="none"/>
        </w:rPr>
        <w:t>48c</w:t>
      </w:r>
      <w:r w:rsidRPr="0006790E">
        <w:rPr>
          <w:rFonts w:ascii="Open Sans" w:eastAsia="Times New Roman" w:hAnsi="Open Sans" w:cs="Open Sans"/>
          <w:color w:val="333333"/>
          <w:kern w:val="0"/>
          <w:sz w:val="24"/>
          <w:szCs w:val="24"/>
          <w14:ligatures w14:val="none"/>
        </w:rPr>
        <w:t> A list of the affected areas will be maintained and published by the </w:t>
      </w:r>
      <w:hyperlink r:id="rId100" w:history="1">
        <w:r w:rsidRPr="0006790E">
          <w:rPr>
            <w:rFonts w:ascii="Open Sans" w:eastAsia="Times New Roman" w:hAnsi="Open Sans" w:cs="Open Sans"/>
            <w:color w:val="001C72"/>
            <w:kern w:val="0"/>
            <w:sz w:val="24"/>
            <w:szCs w:val="24"/>
            <w:u w:val="single"/>
            <w14:ligatures w14:val="none"/>
          </w:rPr>
          <w:t>Board</w:t>
        </w:r>
      </w:hyperlink>
      <w:r w:rsidRPr="0006790E">
        <w:rPr>
          <w:rFonts w:ascii="Open Sans" w:eastAsia="Times New Roman" w:hAnsi="Open Sans" w:cs="Open Sans"/>
          <w:color w:val="333333"/>
          <w:kern w:val="0"/>
          <w:sz w:val="24"/>
          <w:szCs w:val="24"/>
          <w14:ligatures w14:val="none"/>
        </w:rPr>
        <w:t xml:space="preserve">. Such areas now include the following counties in Texas: Angelina, Austin, Bastrop, Brazos, Brazoria, Burleson, Chambers, Fayette, Fort Bend, Galveston, Grimes, Hardin, Harris, Houston, Jackson, Jasper, Jefferson, Lee, Liberty, Madison, Matagorda, Montgomery, </w:t>
      </w:r>
      <w:proofErr w:type="spellStart"/>
      <w:r w:rsidRPr="0006790E">
        <w:rPr>
          <w:rFonts w:ascii="Open Sans" w:eastAsia="Times New Roman" w:hAnsi="Open Sans" w:cs="Open Sans"/>
          <w:color w:val="333333"/>
          <w:kern w:val="0"/>
          <w:sz w:val="24"/>
          <w:szCs w:val="24"/>
          <w14:ligatures w14:val="none"/>
        </w:rPr>
        <w:t>Nacagdoches</w:t>
      </w:r>
      <w:proofErr w:type="spellEnd"/>
      <w:r w:rsidRPr="0006790E">
        <w:rPr>
          <w:rFonts w:ascii="Open Sans" w:eastAsia="Times New Roman" w:hAnsi="Open Sans" w:cs="Open Sans"/>
          <w:color w:val="333333"/>
          <w:kern w:val="0"/>
          <w:sz w:val="24"/>
          <w:szCs w:val="24"/>
          <w14:ligatures w14:val="none"/>
        </w:rPr>
        <w:t>, Orange, Polk, San Augustine, San Jacinto, Shelby, Trinity, Victoria, Washington, Waller, Walker, and Wharton.</w:t>
      </w:r>
    </w:p>
    <w:p w14:paraId="11F74D5C" w14:textId="77777777" w:rsidR="0006790E" w:rsidRPr="0006790E" w:rsidRDefault="0006790E" w:rsidP="0006790E">
      <w:pPr>
        <w:shd w:val="clear" w:color="auto" w:fill="FFFFFF"/>
        <w:spacing w:before="150"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(f)</w:t>
      </w:r>
      <w:r w:rsidRPr="0006790E">
        <w:rPr>
          <w:rFonts w:ascii="Open Sans" w:eastAsia="Times New Roman" w:hAnsi="Open Sans" w:cs="Open Sans"/>
          <w:color w:val="333333"/>
          <w:kern w:val="0"/>
          <w:sz w:val="24"/>
          <w:szCs w:val="24"/>
          <w14:ligatures w14:val="none"/>
        </w:rPr>
        <w:t> </w:t>
      </w:r>
      <w:r w:rsidRPr="0006790E">
        <w:rPr>
          <w:rFonts w:ascii="Open Sans" w:eastAsia="Times New Roman" w:hAnsi="Open Sans" w:cs="Open Sans"/>
          <w:b/>
          <w:bCs/>
          <w:i/>
          <w:iCs/>
          <w:color w:val="333333"/>
          <w:kern w:val="0"/>
          <w:sz w:val="24"/>
          <w:szCs w:val="24"/>
          <w14:ligatures w14:val="none"/>
        </w:rPr>
        <w:t>Exempt transactions.</w:t>
      </w:r>
      <w:r w:rsidRPr="0006790E">
        <w:rPr>
          <w:rFonts w:ascii="Open Sans" w:eastAsia="Times New Roman" w:hAnsi="Open Sans" w:cs="Open Sans"/>
          <w:color w:val="333333"/>
          <w:kern w:val="0"/>
          <w:sz w:val="24"/>
          <w:szCs w:val="24"/>
          <w14:ligatures w14:val="none"/>
        </w:rPr>
        <w:t> The right to rescind does not apply to the following:</w:t>
      </w:r>
    </w:p>
    <w:p w14:paraId="575F7153"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(1)</w:t>
      </w:r>
      <w:r w:rsidRPr="0006790E">
        <w:rPr>
          <w:rFonts w:ascii="Open Sans" w:eastAsia="Times New Roman" w:hAnsi="Open Sans" w:cs="Open Sans"/>
          <w:color w:val="333333"/>
          <w:kern w:val="0"/>
          <w:sz w:val="24"/>
          <w:szCs w:val="24"/>
          <w14:ligatures w14:val="none"/>
        </w:rPr>
        <w:t> A </w:t>
      </w:r>
      <w:hyperlink r:id="rId101" w:history="1">
        <w:r w:rsidRPr="0006790E">
          <w:rPr>
            <w:rFonts w:ascii="Open Sans" w:eastAsia="Times New Roman" w:hAnsi="Open Sans" w:cs="Open Sans"/>
            <w:color w:val="001C72"/>
            <w:kern w:val="0"/>
            <w:sz w:val="24"/>
            <w:szCs w:val="24"/>
            <w:u w:val="single"/>
            <w14:ligatures w14:val="none"/>
          </w:rPr>
          <w:t>residential mortgage transaction</w:t>
        </w:r>
      </w:hyperlink>
      <w:r w:rsidRPr="0006790E">
        <w:rPr>
          <w:rFonts w:ascii="Open Sans" w:eastAsia="Times New Roman" w:hAnsi="Open Sans" w:cs="Open Sans"/>
          <w:color w:val="333333"/>
          <w:kern w:val="0"/>
          <w:sz w:val="24"/>
          <w:szCs w:val="24"/>
          <w14:ligatures w14:val="none"/>
        </w:rPr>
        <w:t>.</w:t>
      </w:r>
    </w:p>
    <w:p w14:paraId="038B721F"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(2)</w:t>
      </w:r>
      <w:r w:rsidRPr="0006790E">
        <w:rPr>
          <w:rFonts w:ascii="Open Sans" w:eastAsia="Times New Roman" w:hAnsi="Open Sans" w:cs="Open Sans"/>
          <w:color w:val="333333"/>
          <w:kern w:val="0"/>
          <w:sz w:val="24"/>
          <w:szCs w:val="24"/>
          <w14:ligatures w14:val="none"/>
        </w:rPr>
        <w:t> A refinancing or consolidation by the same </w:t>
      </w:r>
      <w:hyperlink r:id="rId102"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of an extension of </w:t>
      </w:r>
      <w:hyperlink r:id="rId103" w:history="1">
        <w:r w:rsidRPr="0006790E">
          <w:rPr>
            <w:rFonts w:ascii="Open Sans" w:eastAsia="Times New Roman" w:hAnsi="Open Sans" w:cs="Open Sans"/>
            <w:color w:val="001C72"/>
            <w:kern w:val="0"/>
            <w:sz w:val="24"/>
            <w:szCs w:val="24"/>
            <w:u w:val="single"/>
            <w14:ligatures w14:val="none"/>
          </w:rPr>
          <w:t>credit</w:t>
        </w:r>
      </w:hyperlink>
      <w:r w:rsidRPr="0006790E">
        <w:rPr>
          <w:rFonts w:ascii="Open Sans" w:eastAsia="Times New Roman" w:hAnsi="Open Sans" w:cs="Open Sans"/>
          <w:color w:val="333333"/>
          <w:kern w:val="0"/>
          <w:sz w:val="24"/>
          <w:szCs w:val="24"/>
          <w14:ligatures w14:val="none"/>
        </w:rPr>
        <w:t> already secured by the </w:t>
      </w:r>
      <w:hyperlink r:id="rId104"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principal </w:t>
      </w:r>
      <w:hyperlink r:id="rId105" w:history="1">
        <w:r w:rsidRPr="0006790E">
          <w:rPr>
            <w:rFonts w:ascii="Open Sans" w:eastAsia="Times New Roman" w:hAnsi="Open Sans" w:cs="Open Sans"/>
            <w:color w:val="001C72"/>
            <w:kern w:val="0"/>
            <w:sz w:val="24"/>
            <w:szCs w:val="24"/>
            <w:u w:val="single"/>
            <w14:ligatures w14:val="none"/>
          </w:rPr>
          <w:t>dwelling</w:t>
        </w:r>
      </w:hyperlink>
      <w:r w:rsidRPr="0006790E">
        <w:rPr>
          <w:rFonts w:ascii="Open Sans" w:eastAsia="Times New Roman" w:hAnsi="Open Sans" w:cs="Open Sans"/>
          <w:color w:val="333333"/>
          <w:kern w:val="0"/>
          <w:sz w:val="24"/>
          <w:szCs w:val="24"/>
          <w14:ligatures w14:val="none"/>
        </w:rPr>
        <w:t>. The right of rescission shall apply, however, to the extent the new </w:t>
      </w:r>
      <w:hyperlink r:id="rId106" w:history="1">
        <w:r w:rsidRPr="0006790E">
          <w:rPr>
            <w:rFonts w:ascii="Open Sans" w:eastAsia="Times New Roman" w:hAnsi="Open Sans" w:cs="Open Sans"/>
            <w:color w:val="001C72"/>
            <w:kern w:val="0"/>
            <w:sz w:val="24"/>
            <w:szCs w:val="24"/>
            <w:u w:val="single"/>
            <w14:ligatures w14:val="none"/>
          </w:rPr>
          <w:t>amount</w:t>
        </w:r>
      </w:hyperlink>
      <w:r w:rsidRPr="0006790E">
        <w:rPr>
          <w:rFonts w:ascii="Open Sans" w:eastAsia="Times New Roman" w:hAnsi="Open Sans" w:cs="Open Sans"/>
          <w:color w:val="333333"/>
          <w:kern w:val="0"/>
          <w:sz w:val="24"/>
          <w:szCs w:val="24"/>
          <w14:ligatures w14:val="none"/>
        </w:rPr>
        <w:t> financed exceeds the unpaid principal balance, any earned unpaid finance charge on the existing debt, and </w:t>
      </w:r>
      <w:hyperlink r:id="rId107" w:history="1">
        <w:r w:rsidRPr="0006790E">
          <w:rPr>
            <w:rFonts w:ascii="Open Sans" w:eastAsia="Times New Roman" w:hAnsi="Open Sans" w:cs="Open Sans"/>
            <w:color w:val="001C72"/>
            <w:kern w:val="0"/>
            <w:sz w:val="24"/>
            <w:szCs w:val="24"/>
            <w:u w:val="single"/>
            <w14:ligatures w14:val="none"/>
          </w:rPr>
          <w:t>amounts</w:t>
        </w:r>
      </w:hyperlink>
      <w:r w:rsidRPr="0006790E">
        <w:rPr>
          <w:rFonts w:ascii="Open Sans" w:eastAsia="Times New Roman" w:hAnsi="Open Sans" w:cs="Open Sans"/>
          <w:color w:val="333333"/>
          <w:kern w:val="0"/>
          <w:sz w:val="24"/>
          <w:szCs w:val="24"/>
          <w14:ligatures w14:val="none"/>
        </w:rPr>
        <w:t> attributed solely to the costs of the refinancing or consolidation.</w:t>
      </w:r>
    </w:p>
    <w:p w14:paraId="17A5B122"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(3)</w:t>
      </w:r>
      <w:r w:rsidRPr="0006790E">
        <w:rPr>
          <w:rFonts w:ascii="Open Sans" w:eastAsia="Times New Roman" w:hAnsi="Open Sans" w:cs="Open Sans"/>
          <w:color w:val="333333"/>
          <w:kern w:val="0"/>
          <w:sz w:val="24"/>
          <w:szCs w:val="24"/>
          <w14:ligatures w14:val="none"/>
        </w:rPr>
        <w:t> A transaction in which a </w:t>
      </w:r>
      <w:hyperlink r:id="rId108" w:history="1">
        <w:r w:rsidRPr="0006790E">
          <w:rPr>
            <w:rFonts w:ascii="Open Sans" w:eastAsia="Times New Roman" w:hAnsi="Open Sans" w:cs="Open Sans"/>
            <w:color w:val="001C72"/>
            <w:kern w:val="0"/>
            <w:sz w:val="24"/>
            <w:szCs w:val="24"/>
            <w:u w:val="single"/>
            <w14:ligatures w14:val="none"/>
          </w:rPr>
          <w:t>state</w:t>
        </w:r>
      </w:hyperlink>
      <w:r w:rsidRPr="0006790E">
        <w:rPr>
          <w:rFonts w:ascii="Open Sans" w:eastAsia="Times New Roman" w:hAnsi="Open Sans" w:cs="Open Sans"/>
          <w:color w:val="333333"/>
          <w:kern w:val="0"/>
          <w:sz w:val="24"/>
          <w:szCs w:val="24"/>
          <w14:ligatures w14:val="none"/>
        </w:rPr>
        <w:t> </w:t>
      </w:r>
      <w:hyperlink r:id="rId109" w:history="1">
        <w:r w:rsidRPr="0006790E">
          <w:rPr>
            <w:rFonts w:ascii="Open Sans" w:eastAsia="Times New Roman" w:hAnsi="Open Sans" w:cs="Open Sans"/>
            <w:color w:val="001C72"/>
            <w:kern w:val="0"/>
            <w:sz w:val="24"/>
            <w:szCs w:val="24"/>
            <w:u w:val="single"/>
            <w14:ligatures w14:val="none"/>
          </w:rPr>
          <w:t>agency</w:t>
        </w:r>
      </w:hyperlink>
      <w:r w:rsidRPr="0006790E">
        <w:rPr>
          <w:rFonts w:ascii="Open Sans" w:eastAsia="Times New Roman" w:hAnsi="Open Sans" w:cs="Open Sans"/>
          <w:color w:val="333333"/>
          <w:kern w:val="0"/>
          <w:sz w:val="24"/>
          <w:szCs w:val="24"/>
          <w14:ligatures w14:val="none"/>
        </w:rPr>
        <w:t> is a </w:t>
      </w:r>
      <w:hyperlink r:id="rId110"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w:t>
      </w:r>
    </w:p>
    <w:p w14:paraId="4A891CB9"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(4)</w:t>
      </w:r>
      <w:r w:rsidRPr="0006790E">
        <w:rPr>
          <w:rFonts w:ascii="Open Sans" w:eastAsia="Times New Roman" w:hAnsi="Open Sans" w:cs="Open Sans"/>
          <w:color w:val="333333"/>
          <w:kern w:val="0"/>
          <w:sz w:val="24"/>
          <w:szCs w:val="24"/>
          <w14:ligatures w14:val="none"/>
        </w:rPr>
        <w:t> An advance, other than an initial advance, in a series of advances or in a series of single-payment </w:t>
      </w:r>
      <w:hyperlink r:id="rId111" w:history="1">
        <w:r w:rsidRPr="0006790E">
          <w:rPr>
            <w:rFonts w:ascii="Open Sans" w:eastAsia="Times New Roman" w:hAnsi="Open Sans" w:cs="Open Sans"/>
            <w:color w:val="001C72"/>
            <w:kern w:val="0"/>
            <w:sz w:val="24"/>
            <w:szCs w:val="24"/>
            <w:u w:val="single"/>
            <w14:ligatures w14:val="none"/>
          </w:rPr>
          <w:t>obligations</w:t>
        </w:r>
      </w:hyperlink>
      <w:r w:rsidRPr="0006790E">
        <w:rPr>
          <w:rFonts w:ascii="Open Sans" w:eastAsia="Times New Roman" w:hAnsi="Open Sans" w:cs="Open Sans"/>
          <w:color w:val="333333"/>
          <w:kern w:val="0"/>
          <w:sz w:val="24"/>
          <w:szCs w:val="24"/>
          <w14:ligatures w14:val="none"/>
        </w:rPr>
        <w:t> that is treated as a single transaction under </w:t>
      </w:r>
      <w:hyperlink r:id="rId112" w:anchor="c_6" w:history="1">
        <w:r w:rsidRPr="0006790E">
          <w:rPr>
            <w:rFonts w:ascii="Open Sans" w:eastAsia="Times New Roman" w:hAnsi="Open Sans" w:cs="Open Sans"/>
            <w:color w:val="001C72"/>
            <w:kern w:val="0"/>
            <w:sz w:val="24"/>
            <w:szCs w:val="24"/>
            <w:u w:val="single"/>
            <w14:ligatures w14:val="none"/>
          </w:rPr>
          <w:t>§ 226.17(c)(6)</w:t>
        </w:r>
      </w:hyperlink>
      <w:r w:rsidRPr="0006790E">
        <w:rPr>
          <w:rFonts w:ascii="Open Sans" w:eastAsia="Times New Roman" w:hAnsi="Open Sans" w:cs="Open Sans"/>
          <w:color w:val="333333"/>
          <w:kern w:val="0"/>
          <w:sz w:val="24"/>
          <w:szCs w:val="24"/>
          <w14:ligatures w14:val="none"/>
        </w:rPr>
        <w:t>, if the notice required by </w:t>
      </w:r>
      <w:hyperlink r:id="rId113" w:anchor="b" w:history="1">
        <w:r w:rsidRPr="0006790E">
          <w:rPr>
            <w:rFonts w:ascii="Open Sans" w:eastAsia="Times New Roman" w:hAnsi="Open Sans" w:cs="Open Sans"/>
            <w:color w:val="001C72"/>
            <w:kern w:val="0"/>
            <w:sz w:val="24"/>
            <w:szCs w:val="24"/>
            <w:u w:val="single"/>
            <w14:ligatures w14:val="none"/>
          </w:rPr>
          <w:t>paragraph (b)</w:t>
        </w:r>
      </w:hyperlink>
      <w:r w:rsidRPr="0006790E">
        <w:rPr>
          <w:rFonts w:ascii="Open Sans" w:eastAsia="Times New Roman" w:hAnsi="Open Sans" w:cs="Open Sans"/>
          <w:color w:val="333333"/>
          <w:kern w:val="0"/>
          <w:sz w:val="24"/>
          <w:szCs w:val="24"/>
          <w14:ligatures w14:val="none"/>
        </w:rPr>
        <w:t> of this section and all material disclosures have been given to the </w:t>
      </w:r>
      <w:hyperlink r:id="rId114"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w:t>
      </w:r>
    </w:p>
    <w:p w14:paraId="091FC7F7"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(5)</w:t>
      </w:r>
      <w:r w:rsidRPr="0006790E">
        <w:rPr>
          <w:rFonts w:ascii="Open Sans" w:eastAsia="Times New Roman" w:hAnsi="Open Sans" w:cs="Open Sans"/>
          <w:color w:val="333333"/>
          <w:kern w:val="0"/>
          <w:sz w:val="24"/>
          <w:szCs w:val="24"/>
          <w14:ligatures w14:val="none"/>
        </w:rPr>
        <w:t> A renewal of optional insurance premiums that is not considered a refinancing under </w:t>
      </w:r>
      <w:hyperlink r:id="rId115" w:anchor="a_5" w:history="1">
        <w:r w:rsidRPr="0006790E">
          <w:rPr>
            <w:rFonts w:ascii="Open Sans" w:eastAsia="Times New Roman" w:hAnsi="Open Sans" w:cs="Open Sans"/>
            <w:color w:val="001C72"/>
            <w:kern w:val="0"/>
            <w:sz w:val="24"/>
            <w:szCs w:val="24"/>
            <w:u w:val="single"/>
            <w14:ligatures w14:val="none"/>
          </w:rPr>
          <w:t>§ 226.20(a)(5)</w:t>
        </w:r>
      </w:hyperlink>
      <w:r w:rsidRPr="0006790E">
        <w:rPr>
          <w:rFonts w:ascii="Open Sans" w:eastAsia="Times New Roman" w:hAnsi="Open Sans" w:cs="Open Sans"/>
          <w:color w:val="333333"/>
          <w:kern w:val="0"/>
          <w:sz w:val="24"/>
          <w:szCs w:val="24"/>
          <w14:ligatures w14:val="none"/>
        </w:rPr>
        <w:t>.</w:t>
      </w:r>
    </w:p>
    <w:p w14:paraId="234711A5" w14:textId="77777777" w:rsidR="0006790E" w:rsidRPr="0006790E" w:rsidRDefault="0006790E" w:rsidP="0006790E">
      <w:pPr>
        <w:shd w:val="clear" w:color="auto" w:fill="FFFFFF"/>
        <w:spacing w:before="150"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(g)</w:t>
      </w:r>
      <w:r w:rsidRPr="0006790E">
        <w:rPr>
          <w:rFonts w:ascii="Open Sans" w:eastAsia="Times New Roman" w:hAnsi="Open Sans" w:cs="Open Sans"/>
          <w:color w:val="333333"/>
          <w:kern w:val="0"/>
          <w:sz w:val="24"/>
          <w:szCs w:val="24"/>
          <w14:ligatures w14:val="none"/>
        </w:rPr>
        <w:t> </w:t>
      </w:r>
      <w:r w:rsidRPr="0006790E">
        <w:rPr>
          <w:rFonts w:ascii="Open Sans" w:eastAsia="Times New Roman" w:hAnsi="Open Sans" w:cs="Open Sans"/>
          <w:b/>
          <w:bCs/>
          <w:i/>
          <w:iCs/>
          <w:color w:val="333333"/>
          <w:kern w:val="0"/>
          <w:sz w:val="24"/>
          <w:szCs w:val="24"/>
          <w14:ligatures w14:val="none"/>
        </w:rPr>
        <w:t>Tolerances for accuracy</w:t>
      </w:r>
      <w:proofErr w:type="gramStart"/>
      <w:r w:rsidRPr="0006790E">
        <w:rPr>
          <w:rFonts w:ascii="Open Sans" w:eastAsia="Times New Roman" w:hAnsi="Open Sans" w:cs="Open Sans"/>
          <w:color w:val="333333"/>
          <w:kern w:val="0"/>
          <w:sz w:val="24"/>
          <w:szCs w:val="24"/>
          <w14:ligatures w14:val="none"/>
        </w:rPr>
        <w:t>—(</w:t>
      </w:r>
      <w:proofErr w:type="gramEnd"/>
      <w:r w:rsidRPr="0006790E">
        <w:rPr>
          <w:rFonts w:ascii="Open Sans" w:eastAsia="Times New Roman" w:hAnsi="Open Sans" w:cs="Open Sans"/>
          <w:color w:val="333333"/>
          <w:kern w:val="0"/>
          <w:sz w:val="24"/>
          <w:szCs w:val="24"/>
          <w14:ligatures w14:val="none"/>
        </w:rPr>
        <w:t>1) </w:t>
      </w:r>
      <w:r w:rsidRPr="0006790E">
        <w:rPr>
          <w:rFonts w:ascii="Open Sans" w:eastAsia="Times New Roman" w:hAnsi="Open Sans" w:cs="Open Sans"/>
          <w:i/>
          <w:iCs/>
          <w:color w:val="333333"/>
          <w:kern w:val="0"/>
          <w:sz w:val="24"/>
          <w:szCs w:val="24"/>
          <w14:ligatures w14:val="none"/>
        </w:rPr>
        <w:t>One-half of 1 percent tolerance.</w:t>
      </w:r>
      <w:r w:rsidRPr="0006790E">
        <w:rPr>
          <w:rFonts w:ascii="Open Sans" w:eastAsia="Times New Roman" w:hAnsi="Open Sans" w:cs="Open Sans"/>
          <w:color w:val="333333"/>
          <w:kern w:val="0"/>
          <w:sz w:val="24"/>
          <w:szCs w:val="24"/>
          <w14:ligatures w14:val="none"/>
        </w:rPr>
        <w:t> Except as provided in paragraphs (g)(2) and (h)(2) of this section, the finance charge and other disclosures affected by the finance charge (such as the </w:t>
      </w:r>
      <w:hyperlink r:id="rId116" w:history="1">
        <w:r w:rsidRPr="0006790E">
          <w:rPr>
            <w:rFonts w:ascii="Open Sans" w:eastAsia="Times New Roman" w:hAnsi="Open Sans" w:cs="Open Sans"/>
            <w:color w:val="001C72"/>
            <w:kern w:val="0"/>
            <w:sz w:val="24"/>
            <w:szCs w:val="24"/>
            <w:u w:val="single"/>
            <w14:ligatures w14:val="none"/>
          </w:rPr>
          <w:t>amount</w:t>
        </w:r>
      </w:hyperlink>
      <w:r w:rsidRPr="0006790E">
        <w:rPr>
          <w:rFonts w:ascii="Open Sans" w:eastAsia="Times New Roman" w:hAnsi="Open Sans" w:cs="Open Sans"/>
          <w:color w:val="333333"/>
          <w:kern w:val="0"/>
          <w:sz w:val="24"/>
          <w:szCs w:val="24"/>
          <w14:ligatures w14:val="none"/>
        </w:rPr>
        <w:t> financed and the annual percentage rate) shall be considered accurate for purposes of this section if the disclosed finance charge:</w:t>
      </w:r>
    </w:p>
    <w:p w14:paraId="787CA248"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lastRenderedPageBreak/>
        <w:t>(</w:t>
      </w:r>
      <w:proofErr w:type="spellStart"/>
      <w:r w:rsidRPr="0006790E">
        <w:rPr>
          <w:rFonts w:ascii="Open Sans" w:eastAsia="Times New Roman" w:hAnsi="Open Sans" w:cs="Open Sans"/>
          <w:b/>
          <w:bCs/>
          <w:color w:val="333333"/>
          <w:kern w:val="0"/>
          <w:sz w:val="24"/>
          <w:szCs w:val="24"/>
          <w14:ligatures w14:val="none"/>
        </w:rPr>
        <w:t>i</w:t>
      </w:r>
      <w:proofErr w:type="spellEnd"/>
      <w:r w:rsidRPr="0006790E">
        <w:rPr>
          <w:rFonts w:ascii="Open Sans" w:eastAsia="Times New Roman" w:hAnsi="Open Sans" w:cs="Open Sans"/>
          <w:b/>
          <w:bCs/>
          <w:color w:val="333333"/>
          <w:kern w:val="0"/>
          <w:sz w:val="24"/>
          <w:szCs w:val="24"/>
          <w14:ligatures w14:val="none"/>
        </w:rPr>
        <w:t>)</w:t>
      </w:r>
      <w:r w:rsidRPr="0006790E">
        <w:rPr>
          <w:rFonts w:ascii="Open Sans" w:eastAsia="Times New Roman" w:hAnsi="Open Sans" w:cs="Open Sans"/>
          <w:color w:val="333333"/>
          <w:kern w:val="0"/>
          <w:sz w:val="24"/>
          <w:szCs w:val="24"/>
          <w14:ligatures w14:val="none"/>
        </w:rPr>
        <w:t> is understated by no more than 1/2 of 1 percent of the face </w:t>
      </w:r>
      <w:hyperlink r:id="rId117" w:history="1">
        <w:r w:rsidRPr="0006790E">
          <w:rPr>
            <w:rFonts w:ascii="Open Sans" w:eastAsia="Times New Roman" w:hAnsi="Open Sans" w:cs="Open Sans"/>
            <w:color w:val="001C72"/>
            <w:kern w:val="0"/>
            <w:sz w:val="24"/>
            <w:szCs w:val="24"/>
            <w:u w:val="single"/>
            <w14:ligatures w14:val="none"/>
          </w:rPr>
          <w:t>amount</w:t>
        </w:r>
      </w:hyperlink>
      <w:r w:rsidRPr="0006790E">
        <w:rPr>
          <w:rFonts w:ascii="Open Sans" w:eastAsia="Times New Roman" w:hAnsi="Open Sans" w:cs="Open Sans"/>
          <w:color w:val="333333"/>
          <w:kern w:val="0"/>
          <w:sz w:val="24"/>
          <w:szCs w:val="24"/>
          <w14:ligatures w14:val="none"/>
        </w:rPr>
        <w:t> of the note or $100, whichever is greater; or</w:t>
      </w:r>
    </w:p>
    <w:p w14:paraId="606A9EF6"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(ii)</w:t>
      </w:r>
      <w:r w:rsidRPr="0006790E">
        <w:rPr>
          <w:rFonts w:ascii="Open Sans" w:eastAsia="Times New Roman" w:hAnsi="Open Sans" w:cs="Open Sans"/>
          <w:color w:val="333333"/>
          <w:kern w:val="0"/>
          <w:sz w:val="24"/>
          <w:szCs w:val="24"/>
          <w14:ligatures w14:val="none"/>
        </w:rPr>
        <w:t> is greater than the </w:t>
      </w:r>
      <w:hyperlink r:id="rId118" w:history="1">
        <w:r w:rsidRPr="0006790E">
          <w:rPr>
            <w:rFonts w:ascii="Open Sans" w:eastAsia="Times New Roman" w:hAnsi="Open Sans" w:cs="Open Sans"/>
            <w:color w:val="001C72"/>
            <w:kern w:val="0"/>
            <w:sz w:val="24"/>
            <w:szCs w:val="24"/>
            <w:u w:val="single"/>
            <w14:ligatures w14:val="none"/>
          </w:rPr>
          <w:t>amount</w:t>
        </w:r>
      </w:hyperlink>
      <w:r w:rsidRPr="0006790E">
        <w:rPr>
          <w:rFonts w:ascii="Open Sans" w:eastAsia="Times New Roman" w:hAnsi="Open Sans" w:cs="Open Sans"/>
          <w:color w:val="333333"/>
          <w:kern w:val="0"/>
          <w:sz w:val="24"/>
          <w:szCs w:val="24"/>
          <w14:ligatures w14:val="none"/>
        </w:rPr>
        <w:t> required to be disclosed.</w:t>
      </w:r>
    </w:p>
    <w:p w14:paraId="7561387A"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(2)</w:t>
      </w:r>
      <w:r w:rsidRPr="0006790E">
        <w:rPr>
          <w:rFonts w:ascii="Open Sans" w:eastAsia="Times New Roman" w:hAnsi="Open Sans" w:cs="Open Sans"/>
          <w:color w:val="333333"/>
          <w:kern w:val="0"/>
          <w:sz w:val="24"/>
          <w:szCs w:val="24"/>
          <w14:ligatures w14:val="none"/>
        </w:rPr>
        <w:t> </w:t>
      </w:r>
      <w:r w:rsidRPr="0006790E">
        <w:rPr>
          <w:rFonts w:ascii="Open Sans" w:eastAsia="Times New Roman" w:hAnsi="Open Sans" w:cs="Open Sans"/>
          <w:b/>
          <w:bCs/>
          <w:i/>
          <w:iCs/>
          <w:color w:val="333333"/>
          <w:kern w:val="0"/>
          <w:sz w:val="24"/>
          <w:szCs w:val="24"/>
          <w14:ligatures w14:val="none"/>
        </w:rPr>
        <w:t>One percent tolerance.</w:t>
      </w:r>
      <w:r w:rsidRPr="0006790E">
        <w:rPr>
          <w:rFonts w:ascii="Open Sans" w:eastAsia="Times New Roman" w:hAnsi="Open Sans" w:cs="Open Sans"/>
          <w:color w:val="333333"/>
          <w:kern w:val="0"/>
          <w:sz w:val="24"/>
          <w:szCs w:val="24"/>
          <w14:ligatures w14:val="none"/>
        </w:rPr>
        <w:t> In a refinancing of a </w:t>
      </w:r>
      <w:hyperlink r:id="rId119" w:history="1">
        <w:r w:rsidRPr="0006790E">
          <w:rPr>
            <w:rFonts w:ascii="Open Sans" w:eastAsia="Times New Roman" w:hAnsi="Open Sans" w:cs="Open Sans"/>
            <w:color w:val="001C72"/>
            <w:kern w:val="0"/>
            <w:sz w:val="24"/>
            <w:szCs w:val="24"/>
            <w:u w:val="single"/>
            <w14:ligatures w14:val="none"/>
          </w:rPr>
          <w:t>residential mortgage transaction</w:t>
        </w:r>
      </w:hyperlink>
      <w:r w:rsidRPr="0006790E">
        <w:rPr>
          <w:rFonts w:ascii="Open Sans" w:eastAsia="Times New Roman" w:hAnsi="Open Sans" w:cs="Open Sans"/>
          <w:color w:val="333333"/>
          <w:kern w:val="0"/>
          <w:sz w:val="24"/>
          <w:szCs w:val="24"/>
          <w14:ligatures w14:val="none"/>
        </w:rPr>
        <w:t> with a new </w:t>
      </w:r>
      <w:hyperlink r:id="rId120"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(other than a transaction covered by </w:t>
      </w:r>
      <w:hyperlink r:id="rId121" w:history="1">
        <w:r w:rsidRPr="0006790E">
          <w:rPr>
            <w:rFonts w:ascii="Open Sans" w:eastAsia="Times New Roman" w:hAnsi="Open Sans" w:cs="Open Sans"/>
            <w:color w:val="001C72"/>
            <w:kern w:val="0"/>
            <w:sz w:val="24"/>
            <w:szCs w:val="24"/>
            <w:u w:val="single"/>
            <w14:ligatures w14:val="none"/>
          </w:rPr>
          <w:t>§ 226.32</w:t>
        </w:r>
      </w:hyperlink>
      <w:r w:rsidRPr="0006790E">
        <w:rPr>
          <w:rFonts w:ascii="Open Sans" w:eastAsia="Times New Roman" w:hAnsi="Open Sans" w:cs="Open Sans"/>
          <w:color w:val="333333"/>
          <w:kern w:val="0"/>
          <w:sz w:val="24"/>
          <w:szCs w:val="24"/>
          <w14:ligatures w14:val="none"/>
        </w:rPr>
        <w:t>), if there is no new advance and no consolidation of existing loans, the finance charge and other disclosures affected by the finance charge (such as the </w:t>
      </w:r>
      <w:hyperlink r:id="rId122" w:history="1">
        <w:r w:rsidRPr="0006790E">
          <w:rPr>
            <w:rFonts w:ascii="Open Sans" w:eastAsia="Times New Roman" w:hAnsi="Open Sans" w:cs="Open Sans"/>
            <w:color w:val="001C72"/>
            <w:kern w:val="0"/>
            <w:sz w:val="24"/>
            <w:szCs w:val="24"/>
            <w:u w:val="single"/>
            <w14:ligatures w14:val="none"/>
          </w:rPr>
          <w:t>amount</w:t>
        </w:r>
      </w:hyperlink>
      <w:r w:rsidRPr="0006790E">
        <w:rPr>
          <w:rFonts w:ascii="Open Sans" w:eastAsia="Times New Roman" w:hAnsi="Open Sans" w:cs="Open Sans"/>
          <w:color w:val="333333"/>
          <w:kern w:val="0"/>
          <w:sz w:val="24"/>
          <w:szCs w:val="24"/>
          <w14:ligatures w14:val="none"/>
        </w:rPr>
        <w:t> financed and the annual percentage rate) shall be considered accurate for purposes of this section if the disclosed finance charge:</w:t>
      </w:r>
    </w:p>
    <w:p w14:paraId="2DC09CDA"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w:t>
      </w:r>
      <w:proofErr w:type="spellStart"/>
      <w:r w:rsidRPr="0006790E">
        <w:rPr>
          <w:rFonts w:ascii="Open Sans" w:eastAsia="Times New Roman" w:hAnsi="Open Sans" w:cs="Open Sans"/>
          <w:b/>
          <w:bCs/>
          <w:color w:val="333333"/>
          <w:kern w:val="0"/>
          <w:sz w:val="24"/>
          <w:szCs w:val="24"/>
          <w14:ligatures w14:val="none"/>
        </w:rPr>
        <w:t>i</w:t>
      </w:r>
      <w:proofErr w:type="spellEnd"/>
      <w:r w:rsidRPr="0006790E">
        <w:rPr>
          <w:rFonts w:ascii="Open Sans" w:eastAsia="Times New Roman" w:hAnsi="Open Sans" w:cs="Open Sans"/>
          <w:b/>
          <w:bCs/>
          <w:color w:val="333333"/>
          <w:kern w:val="0"/>
          <w:sz w:val="24"/>
          <w:szCs w:val="24"/>
          <w14:ligatures w14:val="none"/>
        </w:rPr>
        <w:t>)</w:t>
      </w:r>
      <w:r w:rsidRPr="0006790E">
        <w:rPr>
          <w:rFonts w:ascii="Open Sans" w:eastAsia="Times New Roman" w:hAnsi="Open Sans" w:cs="Open Sans"/>
          <w:color w:val="333333"/>
          <w:kern w:val="0"/>
          <w:sz w:val="24"/>
          <w:szCs w:val="24"/>
          <w14:ligatures w14:val="none"/>
        </w:rPr>
        <w:t> is understated by no more than 1 percent of the face </w:t>
      </w:r>
      <w:hyperlink r:id="rId123" w:history="1">
        <w:r w:rsidRPr="0006790E">
          <w:rPr>
            <w:rFonts w:ascii="Open Sans" w:eastAsia="Times New Roman" w:hAnsi="Open Sans" w:cs="Open Sans"/>
            <w:color w:val="001C72"/>
            <w:kern w:val="0"/>
            <w:sz w:val="24"/>
            <w:szCs w:val="24"/>
            <w:u w:val="single"/>
            <w14:ligatures w14:val="none"/>
          </w:rPr>
          <w:t>amount</w:t>
        </w:r>
      </w:hyperlink>
      <w:r w:rsidRPr="0006790E">
        <w:rPr>
          <w:rFonts w:ascii="Open Sans" w:eastAsia="Times New Roman" w:hAnsi="Open Sans" w:cs="Open Sans"/>
          <w:color w:val="333333"/>
          <w:kern w:val="0"/>
          <w:sz w:val="24"/>
          <w:szCs w:val="24"/>
          <w14:ligatures w14:val="none"/>
        </w:rPr>
        <w:t> of the note or $100, whichever is greater; or</w:t>
      </w:r>
    </w:p>
    <w:p w14:paraId="514E2CD6"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(ii)</w:t>
      </w:r>
      <w:r w:rsidRPr="0006790E">
        <w:rPr>
          <w:rFonts w:ascii="Open Sans" w:eastAsia="Times New Roman" w:hAnsi="Open Sans" w:cs="Open Sans"/>
          <w:color w:val="333333"/>
          <w:kern w:val="0"/>
          <w:sz w:val="24"/>
          <w:szCs w:val="24"/>
          <w14:ligatures w14:val="none"/>
        </w:rPr>
        <w:t> is greater than the </w:t>
      </w:r>
      <w:hyperlink r:id="rId124" w:history="1">
        <w:r w:rsidRPr="0006790E">
          <w:rPr>
            <w:rFonts w:ascii="Open Sans" w:eastAsia="Times New Roman" w:hAnsi="Open Sans" w:cs="Open Sans"/>
            <w:color w:val="001C72"/>
            <w:kern w:val="0"/>
            <w:sz w:val="24"/>
            <w:szCs w:val="24"/>
            <w:u w:val="single"/>
            <w14:ligatures w14:val="none"/>
          </w:rPr>
          <w:t>amount</w:t>
        </w:r>
      </w:hyperlink>
      <w:r w:rsidRPr="0006790E">
        <w:rPr>
          <w:rFonts w:ascii="Open Sans" w:eastAsia="Times New Roman" w:hAnsi="Open Sans" w:cs="Open Sans"/>
          <w:color w:val="333333"/>
          <w:kern w:val="0"/>
          <w:sz w:val="24"/>
          <w:szCs w:val="24"/>
          <w14:ligatures w14:val="none"/>
        </w:rPr>
        <w:t> required to be disclosed.</w:t>
      </w:r>
    </w:p>
    <w:p w14:paraId="3F1AFF2F" w14:textId="77777777" w:rsidR="0006790E" w:rsidRPr="0006790E" w:rsidRDefault="0006790E" w:rsidP="0006790E">
      <w:pPr>
        <w:shd w:val="clear" w:color="auto" w:fill="FFFFFF"/>
        <w:spacing w:before="150"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(h)</w:t>
      </w:r>
      <w:r w:rsidRPr="0006790E">
        <w:rPr>
          <w:rFonts w:ascii="Open Sans" w:eastAsia="Times New Roman" w:hAnsi="Open Sans" w:cs="Open Sans"/>
          <w:color w:val="333333"/>
          <w:kern w:val="0"/>
          <w:sz w:val="24"/>
          <w:szCs w:val="24"/>
          <w14:ligatures w14:val="none"/>
        </w:rPr>
        <w:t> </w:t>
      </w:r>
      <w:r w:rsidRPr="0006790E">
        <w:rPr>
          <w:rFonts w:ascii="Open Sans" w:eastAsia="Times New Roman" w:hAnsi="Open Sans" w:cs="Open Sans"/>
          <w:b/>
          <w:bCs/>
          <w:i/>
          <w:iCs/>
          <w:color w:val="333333"/>
          <w:kern w:val="0"/>
          <w:sz w:val="24"/>
          <w:szCs w:val="24"/>
          <w14:ligatures w14:val="none"/>
        </w:rPr>
        <w:t>Special rules for foreclosures</w:t>
      </w:r>
      <w:proofErr w:type="gramStart"/>
      <w:r w:rsidRPr="0006790E">
        <w:rPr>
          <w:rFonts w:ascii="Open Sans" w:eastAsia="Times New Roman" w:hAnsi="Open Sans" w:cs="Open Sans"/>
          <w:color w:val="333333"/>
          <w:kern w:val="0"/>
          <w:sz w:val="24"/>
          <w:szCs w:val="24"/>
          <w14:ligatures w14:val="none"/>
        </w:rPr>
        <w:t>—(</w:t>
      </w:r>
      <w:proofErr w:type="gramEnd"/>
      <w:r w:rsidRPr="0006790E">
        <w:rPr>
          <w:rFonts w:ascii="Open Sans" w:eastAsia="Times New Roman" w:hAnsi="Open Sans" w:cs="Open Sans"/>
          <w:color w:val="333333"/>
          <w:kern w:val="0"/>
          <w:sz w:val="24"/>
          <w:szCs w:val="24"/>
          <w14:ligatures w14:val="none"/>
        </w:rPr>
        <w:t>1) </w:t>
      </w:r>
      <w:r w:rsidRPr="0006790E">
        <w:rPr>
          <w:rFonts w:ascii="Open Sans" w:eastAsia="Times New Roman" w:hAnsi="Open Sans" w:cs="Open Sans"/>
          <w:i/>
          <w:iCs/>
          <w:color w:val="333333"/>
          <w:kern w:val="0"/>
          <w:sz w:val="24"/>
          <w:szCs w:val="24"/>
          <w14:ligatures w14:val="none"/>
        </w:rPr>
        <w:t>Right to rescind.</w:t>
      </w:r>
      <w:r w:rsidRPr="0006790E">
        <w:rPr>
          <w:rFonts w:ascii="Open Sans" w:eastAsia="Times New Roman" w:hAnsi="Open Sans" w:cs="Open Sans"/>
          <w:color w:val="333333"/>
          <w:kern w:val="0"/>
          <w:sz w:val="24"/>
          <w:szCs w:val="24"/>
          <w14:ligatures w14:val="none"/>
        </w:rPr>
        <w:t> After the initiation of foreclosure on the </w:t>
      </w:r>
      <w:hyperlink r:id="rId125"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principal </w:t>
      </w:r>
      <w:hyperlink r:id="rId126" w:history="1">
        <w:r w:rsidRPr="0006790E">
          <w:rPr>
            <w:rFonts w:ascii="Open Sans" w:eastAsia="Times New Roman" w:hAnsi="Open Sans" w:cs="Open Sans"/>
            <w:color w:val="001C72"/>
            <w:kern w:val="0"/>
            <w:sz w:val="24"/>
            <w:szCs w:val="24"/>
            <w:u w:val="single"/>
            <w14:ligatures w14:val="none"/>
          </w:rPr>
          <w:t>dwelling</w:t>
        </w:r>
      </w:hyperlink>
      <w:r w:rsidRPr="0006790E">
        <w:rPr>
          <w:rFonts w:ascii="Open Sans" w:eastAsia="Times New Roman" w:hAnsi="Open Sans" w:cs="Open Sans"/>
          <w:color w:val="333333"/>
          <w:kern w:val="0"/>
          <w:sz w:val="24"/>
          <w:szCs w:val="24"/>
          <w14:ligatures w14:val="none"/>
        </w:rPr>
        <w:t> that secures the </w:t>
      </w:r>
      <w:hyperlink r:id="rId127" w:history="1">
        <w:r w:rsidRPr="0006790E">
          <w:rPr>
            <w:rFonts w:ascii="Open Sans" w:eastAsia="Times New Roman" w:hAnsi="Open Sans" w:cs="Open Sans"/>
            <w:color w:val="001C72"/>
            <w:kern w:val="0"/>
            <w:sz w:val="24"/>
            <w:szCs w:val="24"/>
            <w:u w:val="single"/>
            <w14:ligatures w14:val="none"/>
          </w:rPr>
          <w:t>credit</w:t>
        </w:r>
      </w:hyperlink>
      <w:r w:rsidRPr="0006790E">
        <w:rPr>
          <w:rFonts w:ascii="Open Sans" w:eastAsia="Times New Roman" w:hAnsi="Open Sans" w:cs="Open Sans"/>
          <w:color w:val="333333"/>
          <w:kern w:val="0"/>
          <w:sz w:val="24"/>
          <w:szCs w:val="24"/>
          <w14:ligatures w14:val="none"/>
        </w:rPr>
        <w:t> </w:t>
      </w:r>
      <w:hyperlink r:id="rId128" w:history="1">
        <w:r w:rsidRPr="0006790E">
          <w:rPr>
            <w:rFonts w:ascii="Open Sans" w:eastAsia="Times New Roman" w:hAnsi="Open Sans" w:cs="Open Sans"/>
            <w:color w:val="001C72"/>
            <w:kern w:val="0"/>
            <w:sz w:val="24"/>
            <w:szCs w:val="24"/>
            <w:u w:val="single"/>
            <w14:ligatures w14:val="none"/>
          </w:rPr>
          <w:t>obligation</w:t>
        </w:r>
      </w:hyperlink>
      <w:r w:rsidRPr="0006790E">
        <w:rPr>
          <w:rFonts w:ascii="Open Sans" w:eastAsia="Times New Roman" w:hAnsi="Open Sans" w:cs="Open Sans"/>
          <w:color w:val="333333"/>
          <w:kern w:val="0"/>
          <w:sz w:val="24"/>
          <w:szCs w:val="24"/>
          <w14:ligatures w14:val="none"/>
        </w:rPr>
        <w:t>, the </w:t>
      </w:r>
      <w:hyperlink r:id="rId129"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 shall have the right to rescind the transaction if:</w:t>
      </w:r>
    </w:p>
    <w:p w14:paraId="09BC8811" w14:textId="77777777" w:rsidR="0006790E" w:rsidRPr="0006790E" w:rsidRDefault="0006790E" w:rsidP="0006790E">
      <w:pPr>
        <w:shd w:val="clear" w:color="auto" w:fill="FFFFFF"/>
        <w:spacing w:before="150"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w:t>
      </w:r>
      <w:proofErr w:type="spellStart"/>
      <w:r w:rsidRPr="0006790E">
        <w:rPr>
          <w:rFonts w:ascii="Open Sans" w:eastAsia="Times New Roman" w:hAnsi="Open Sans" w:cs="Open Sans"/>
          <w:b/>
          <w:bCs/>
          <w:color w:val="333333"/>
          <w:kern w:val="0"/>
          <w:sz w:val="24"/>
          <w:szCs w:val="24"/>
          <w14:ligatures w14:val="none"/>
        </w:rPr>
        <w:t>i</w:t>
      </w:r>
      <w:proofErr w:type="spellEnd"/>
      <w:r w:rsidRPr="0006790E">
        <w:rPr>
          <w:rFonts w:ascii="Open Sans" w:eastAsia="Times New Roman" w:hAnsi="Open Sans" w:cs="Open Sans"/>
          <w:b/>
          <w:bCs/>
          <w:color w:val="333333"/>
          <w:kern w:val="0"/>
          <w:sz w:val="24"/>
          <w:szCs w:val="24"/>
          <w14:ligatures w14:val="none"/>
        </w:rPr>
        <w:t>)</w:t>
      </w:r>
      <w:r w:rsidRPr="0006790E">
        <w:rPr>
          <w:rFonts w:ascii="Open Sans" w:eastAsia="Times New Roman" w:hAnsi="Open Sans" w:cs="Open Sans"/>
          <w:color w:val="333333"/>
          <w:kern w:val="0"/>
          <w:sz w:val="24"/>
          <w:szCs w:val="24"/>
          <w14:ligatures w14:val="none"/>
        </w:rPr>
        <w:t> A mortgage broker fee that should have been included in the finance charge was not included; or</w:t>
      </w:r>
    </w:p>
    <w:p w14:paraId="20BCAD6C" w14:textId="77777777" w:rsidR="0006790E" w:rsidRPr="0006790E" w:rsidRDefault="0006790E" w:rsidP="0006790E">
      <w:pPr>
        <w:shd w:val="clear" w:color="auto" w:fill="FFFFFF"/>
        <w:spacing w:before="150" w:after="150" w:line="240" w:lineRule="auto"/>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(ii)</w:t>
      </w:r>
      <w:r w:rsidRPr="0006790E">
        <w:rPr>
          <w:rFonts w:ascii="Open Sans" w:eastAsia="Times New Roman" w:hAnsi="Open Sans" w:cs="Open Sans"/>
          <w:color w:val="333333"/>
          <w:kern w:val="0"/>
          <w:sz w:val="24"/>
          <w:szCs w:val="24"/>
          <w14:ligatures w14:val="none"/>
        </w:rPr>
        <w:t> The </w:t>
      </w:r>
      <w:hyperlink r:id="rId130" w:history="1">
        <w:r w:rsidRPr="0006790E">
          <w:rPr>
            <w:rFonts w:ascii="Open Sans" w:eastAsia="Times New Roman" w:hAnsi="Open Sans" w:cs="Open Sans"/>
            <w:color w:val="001C72"/>
            <w:kern w:val="0"/>
            <w:sz w:val="24"/>
            <w:szCs w:val="24"/>
            <w:u w:val="single"/>
            <w14:ligatures w14:val="none"/>
          </w:rPr>
          <w:t>creditor</w:t>
        </w:r>
      </w:hyperlink>
      <w:r w:rsidRPr="0006790E">
        <w:rPr>
          <w:rFonts w:ascii="Open Sans" w:eastAsia="Times New Roman" w:hAnsi="Open Sans" w:cs="Open Sans"/>
          <w:color w:val="333333"/>
          <w:kern w:val="0"/>
          <w:sz w:val="24"/>
          <w:szCs w:val="24"/>
          <w14:ligatures w14:val="none"/>
        </w:rPr>
        <w:t> did not provide the properly completed appropriate model form in appendix H of this part, or a substantially similar notice of rescission.</w:t>
      </w:r>
    </w:p>
    <w:p w14:paraId="0155D963" w14:textId="77777777" w:rsidR="0006790E" w:rsidRPr="0006790E" w:rsidRDefault="0006790E" w:rsidP="0006790E">
      <w:pPr>
        <w:shd w:val="clear" w:color="auto" w:fill="FFFFFF"/>
        <w:spacing w:after="150" w:line="240" w:lineRule="auto"/>
        <w:ind w:left="24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(2)</w:t>
      </w:r>
      <w:r w:rsidRPr="0006790E">
        <w:rPr>
          <w:rFonts w:ascii="Open Sans" w:eastAsia="Times New Roman" w:hAnsi="Open Sans" w:cs="Open Sans"/>
          <w:color w:val="333333"/>
          <w:kern w:val="0"/>
          <w:sz w:val="24"/>
          <w:szCs w:val="24"/>
          <w14:ligatures w14:val="none"/>
        </w:rPr>
        <w:t> </w:t>
      </w:r>
      <w:r w:rsidRPr="0006790E">
        <w:rPr>
          <w:rFonts w:ascii="Open Sans" w:eastAsia="Times New Roman" w:hAnsi="Open Sans" w:cs="Open Sans"/>
          <w:b/>
          <w:bCs/>
          <w:i/>
          <w:iCs/>
          <w:color w:val="333333"/>
          <w:kern w:val="0"/>
          <w:sz w:val="24"/>
          <w:szCs w:val="24"/>
          <w14:ligatures w14:val="none"/>
        </w:rPr>
        <w:t>Tolerance for disclosures.</w:t>
      </w:r>
      <w:r w:rsidRPr="0006790E">
        <w:rPr>
          <w:rFonts w:ascii="Open Sans" w:eastAsia="Times New Roman" w:hAnsi="Open Sans" w:cs="Open Sans"/>
          <w:color w:val="333333"/>
          <w:kern w:val="0"/>
          <w:sz w:val="24"/>
          <w:szCs w:val="24"/>
          <w14:ligatures w14:val="none"/>
        </w:rPr>
        <w:t> After the initiation of foreclosure on the </w:t>
      </w:r>
      <w:hyperlink r:id="rId131" w:history="1">
        <w:r w:rsidRPr="0006790E">
          <w:rPr>
            <w:rFonts w:ascii="Open Sans" w:eastAsia="Times New Roman" w:hAnsi="Open Sans" w:cs="Open Sans"/>
            <w:color w:val="001C72"/>
            <w:kern w:val="0"/>
            <w:sz w:val="24"/>
            <w:szCs w:val="24"/>
            <w:u w:val="single"/>
            <w14:ligatures w14:val="none"/>
          </w:rPr>
          <w:t>consumer</w:t>
        </w:r>
      </w:hyperlink>
      <w:r w:rsidRPr="0006790E">
        <w:rPr>
          <w:rFonts w:ascii="Open Sans" w:eastAsia="Times New Roman" w:hAnsi="Open Sans" w:cs="Open Sans"/>
          <w:color w:val="333333"/>
          <w:kern w:val="0"/>
          <w:sz w:val="24"/>
          <w:szCs w:val="24"/>
          <w14:ligatures w14:val="none"/>
        </w:rPr>
        <w:t>'s principal </w:t>
      </w:r>
      <w:hyperlink r:id="rId132" w:history="1">
        <w:r w:rsidRPr="0006790E">
          <w:rPr>
            <w:rFonts w:ascii="Open Sans" w:eastAsia="Times New Roman" w:hAnsi="Open Sans" w:cs="Open Sans"/>
            <w:color w:val="001C72"/>
            <w:kern w:val="0"/>
            <w:sz w:val="24"/>
            <w:szCs w:val="24"/>
            <w:u w:val="single"/>
            <w14:ligatures w14:val="none"/>
          </w:rPr>
          <w:t>dwelling</w:t>
        </w:r>
      </w:hyperlink>
      <w:r w:rsidRPr="0006790E">
        <w:rPr>
          <w:rFonts w:ascii="Open Sans" w:eastAsia="Times New Roman" w:hAnsi="Open Sans" w:cs="Open Sans"/>
          <w:color w:val="333333"/>
          <w:kern w:val="0"/>
          <w:sz w:val="24"/>
          <w:szCs w:val="24"/>
          <w14:ligatures w14:val="none"/>
        </w:rPr>
        <w:t> that secures the </w:t>
      </w:r>
      <w:hyperlink r:id="rId133" w:history="1">
        <w:r w:rsidRPr="0006790E">
          <w:rPr>
            <w:rFonts w:ascii="Open Sans" w:eastAsia="Times New Roman" w:hAnsi="Open Sans" w:cs="Open Sans"/>
            <w:color w:val="001C72"/>
            <w:kern w:val="0"/>
            <w:sz w:val="24"/>
            <w:szCs w:val="24"/>
            <w:u w:val="single"/>
            <w14:ligatures w14:val="none"/>
          </w:rPr>
          <w:t>credit</w:t>
        </w:r>
      </w:hyperlink>
      <w:r w:rsidRPr="0006790E">
        <w:rPr>
          <w:rFonts w:ascii="Open Sans" w:eastAsia="Times New Roman" w:hAnsi="Open Sans" w:cs="Open Sans"/>
          <w:color w:val="333333"/>
          <w:kern w:val="0"/>
          <w:sz w:val="24"/>
          <w:szCs w:val="24"/>
          <w14:ligatures w14:val="none"/>
        </w:rPr>
        <w:t> </w:t>
      </w:r>
      <w:hyperlink r:id="rId134" w:history="1">
        <w:r w:rsidRPr="0006790E">
          <w:rPr>
            <w:rFonts w:ascii="Open Sans" w:eastAsia="Times New Roman" w:hAnsi="Open Sans" w:cs="Open Sans"/>
            <w:color w:val="001C72"/>
            <w:kern w:val="0"/>
            <w:sz w:val="24"/>
            <w:szCs w:val="24"/>
            <w:u w:val="single"/>
            <w14:ligatures w14:val="none"/>
          </w:rPr>
          <w:t>obligation</w:t>
        </w:r>
      </w:hyperlink>
      <w:r w:rsidRPr="0006790E">
        <w:rPr>
          <w:rFonts w:ascii="Open Sans" w:eastAsia="Times New Roman" w:hAnsi="Open Sans" w:cs="Open Sans"/>
          <w:color w:val="333333"/>
          <w:kern w:val="0"/>
          <w:sz w:val="24"/>
          <w:szCs w:val="24"/>
          <w14:ligatures w14:val="none"/>
        </w:rPr>
        <w:t>, the finance charge and other disclosures affected by the finance charge (such as the </w:t>
      </w:r>
      <w:hyperlink r:id="rId135" w:history="1">
        <w:r w:rsidRPr="0006790E">
          <w:rPr>
            <w:rFonts w:ascii="Open Sans" w:eastAsia="Times New Roman" w:hAnsi="Open Sans" w:cs="Open Sans"/>
            <w:color w:val="001C72"/>
            <w:kern w:val="0"/>
            <w:sz w:val="24"/>
            <w:szCs w:val="24"/>
            <w:u w:val="single"/>
            <w14:ligatures w14:val="none"/>
          </w:rPr>
          <w:t>amount</w:t>
        </w:r>
      </w:hyperlink>
      <w:r w:rsidRPr="0006790E">
        <w:rPr>
          <w:rFonts w:ascii="Open Sans" w:eastAsia="Times New Roman" w:hAnsi="Open Sans" w:cs="Open Sans"/>
          <w:color w:val="333333"/>
          <w:kern w:val="0"/>
          <w:sz w:val="24"/>
          <w:szCs w:val="24"/>
          <w14:ligatures w14:val="none"/>
        </w:rPr>
        <w:t> financed and the annual percentage rate) shall be considered accurate for purposes of this section if the disclosed finance charge:</w:t>
      </w:r>
    </w:p>
    <w:p w14:paraId="55815393"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w:t>
      </w:r>
      <w:proofErr w:type="spellStart"/>
      <w:r w:rsidRPr="0006790E">
        <w:rPr>
          <w:rFonts w:ascii="Open Sans" w:eastAsia="Times New Roman" w:hAnsi="Open Sans" w:cs="Open Sans"/>
          <w:b/>
          <w:bCs/>
          <w:color w:val="333333"/>
          <w:kern w:val="0"/>
          <w:sz w:val="24"/>
          <w:szCs w:val="24"/>
          <w14:ligatures w14:val="none"/>
        </w:rPr>
        <w:t>i</w:t>
      </w:r>
      <w:proofErr w:type="spellEnd"/>
      <w:r w:rsidRPr="0006790E">
        <w:rPr>
          <w:rFonts w:ascii="Open Sans" w:eastAsia="Times New Roman" w:hAnsi="Open Sans" w:cs="Open Sans"/>
          <w:b/>
          <w:bCs/>
          <w:color w:val="333333"/>
          <w:kern w:val="0"/>
          <w:sz w:val="24"/>
          <w:szCs w:val="24"/>
          <w14:ligatures w14:val="none"/>
        </w:rPr>
        <w:t>)</w:t>
      </w:r>
      <w:r w:rsidRPr="0006790E">
        <w:rPr>
          <w:rFonts w:ascii="Open Sans" w:eastAsia="Times New Roman" w:hAnsi="Open Sans" w:cs="Open Sans"/>
          <w:color w:val="333333"/>
          <w:kern w:val="0"/>
          <w:sz w:val="24"/>
          <w:szCs w:val="24"/>
          <w14:ligatures w14:val="none"/>
        </w:rPr>
        <w:t> is understated by no more than $35; or</w:t>
      </w:r>
    </w:p>
    <w:p w14:paraId="5D701979" w14:textId="77777777" w:rsidR="0006790E" w:rsidRPr="0006790E" w:rsidRDefault="0006790E" w:rsidP="0006790E">
      <w:pPr>
        <w:shd w:val="clear" w:color="auto" w:fill="FFFFFF"/>
        <w:spacing w:after="150" w:line="240" w:lineRule="auto"/>
        <w:ind w:left="480"/>
        <w:rPr>
          <w:rFonts w:ascii="Open Sans" w:eastAsia="Times New Roman" w:hAnsi="Open Sans" w:cs="Open Sans"/>
          <w:color w:val="333333"/>
          <w:kern w:val="0"/>
          <w:sz w:val="24"/>
          <w:szCs w:val="24"/>
          <w14:ligatures w14:val="none"/>
        </w:rPr>
      </w:pPr>
      <w:r w:rsidRPr="0006790E">
        <w:rPr>
          <w:rFonts w:ascii="Open Sans" w:eastAsia="Times New Roman" w:hAnsi="Open Sans" w:cs="Open Sans"/>
          <w:b/>
          <w:bCs/>
          <w:color w:val="333333"/>
          <w:kern w:val="0"/>
          <w:sz w:val="24"/>
          <w:szCs w:val="24"/>
          <w14:ligatures w14:val="none"/>
        </w:rPr>
        <w:t>(ii)</w:t>
      </w:r>
      <w:r w:rsidRPr="0006790E">
        <w:rPr>
          <w:rFonts w:ascii="Open Sans" w:eastAsia="Times New Roman" w:hAnsi="Open Sans" w:cs="Open Sans"/>
          <w:color w:val="333333"/>
          <w:kern w:val="0"/>
          <w:sz w:val="24"/>
          <w:szCs w:val="24"/>
          <w14:ligatures w14:val="none"/>
        </w:rPr>
        <w:t> is greater than the </w:t>
      </w:r>
      <w:hyperlink r:id="rId136" w:history="1">
        <w:r w:rsidRPr="0006790E">
          <w:rPr>
            <w:rFonts w:ascii="Open Sans" w:eastAsia="Times New Roman" w:hAnsi="Open Sans" w:cs="Open Sans"/>
            <w:color w:val="001C72"/>
            <w:kern w:val="0"/>
            <w:sz w:val="24"/>
            <w:szCs w:val="24"/>
            <w:u w:val="single"/>
            <w14:ligatures w14:val="none"/>
          </w:rPr>
          <w:t>amount</w:t>
        </w:r>
      </w:hyperlink>
      <w:r w:rsidRPr="0006790E">
        <w:rPr>
          <w:rFonts w:ascii="Open Sans" w:eastAsia="Times New Roman" w:hAnsi="Open Sans" w:cs="Open Sans"/>
          <w:color w:val="333333"/>
          <w:kern w:val="0"/>
          <w:sz w:val="24"/>
          <w:szCs w:val="24"/>
          <w14:ligatures w14:val="none"/>
        </w:rPr>
        <w:t> required to be disclosed.</w:t>
      </w:r>
    </w:p>
    <w:p w14:paraId="0FD31B9D" w14:textId="77777777" w:rsidR="0006790E" w:rsidRDefault="0006790E"/>
    <w:sectPr w:rsidR="00067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8C"/>
    <w:rsid w:val="0006790E"/>
    <w:rsid w:val="001B422C"/>
    <w:rsid w:val="00461860"/>
    <w:rsid w:val="004B6ECA"/>
    <w:rsid w:val="004D2E9A"/>
    <w:rsid w:val="004F0D6C"/>
    <w:rsid w:val="00843894"/>
    <w:rsid w:val="00A52F8C"/>
    <w:rsid w:val="00C05416"/>
    <w:rsid w:val="00CD12FD"/>
    <w:rsid w:val="00F23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46C09"/>
  <w15:chartTrackingRefBased/>
  <w15:docId w15:val="{8790EF1F-6569-406F-B3F2-1435C217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F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F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F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F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F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F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F8C"/>
    <w:rPr>
      <w:rFonts w:eastAsiaTheme="majorEastAsia" w:cstheme="majorBidi"/>
      <w:color w:val="272727" w:themeColor="text1" w:themeTint="D8"/>
    </w:rPr>
  </w:style>
  <w:style w:type="paragraph" w:styleId="Title">
    <w:name w:val="Title"/>
    <w:basedOn w:val="Normal"/>
    <w:next w:val="Normal"/>
    <w:link w:val="TitleChar"/>
    <w:uiPriority w:val="10"/>
    <w:qFormat/>
    <w:rsid w:val="00A52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F8C"/>
    <w:pPr>
      <w:spacing w:before="160"/>
      <w:jc w:val="center"/>
    </w:pPr>
    <w:rPr>
      <w:i/>
      <w:iCs/>
      <w:color w:val="404040" w:themeColor="text1" w:themeTint="BF"/>
    </w:rPr>
  </w:style>
  <w:style w:type="character" w:customStyle="1" w:styleId="QuoteChar">
    <w:name w:val="Quote Char"/>
    <w:basedOn w:val="DefaultParagraphFont"/>
    <w:link w:val="Quote"/>
    <w:uiPriority w:val="29"/>
    <w:rsid w:val="00A52F8C"/>
    <w:rPr>
      <w:i/>
      <w:iCs/>
      <w:color w:val="404040" w:themeColor="text1" w:themeTint="BF"/>
    </w:rPr>
  </w:style>
  <w:style w:type="paragraph" w:styleId="ListParagraph">
    <w:name w:val="List Paragraph"/>
    <w:basedOn w:val="Normal"/>
    <w:uiPriority w:val="34"/>
    <w:qFormat/>
    <w:rsid w:val="00A52F8C"/>
    <w:pPr>
      <w:ind w:left="720"/>
      <w:contextualSpacing/>
    </w:pPr>
  </w:style>
  <w:style w:type="character" w:styleId="IntenseEmphasis">
    <w:name w:val="Intense Emphasis"/>
    <w:basedOn w:val="DefaultParagraphFont"/>
    <w:uiPriority w:val="21"/>
    <w:qFormat/>
    <w:rsid w:val="00A52F8C"/>
    <w:rPr>
      <w:i/>
      <w:iCs/>
      <w:color w:val="2F5496" w:themeColor="accent1" w:themeShade="BF"/>
    </w:rPr>
  </w:style>
  <w:style w:type="paragraph" w:styleId="IntenseQuote">
    <w:name w:val="Intense Quote"/>
    <w:basedOn w:val="Normal"/>
    <w:next w:val="Normal"/>
    <w:link w:val="IntenseQuoteChar"/>
    <w:uiPriority w:val="30"/>
    <w:qFormat/>
    <w:rsid w:val="00A52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F8C"/>
    <w:rPr>
      <w:i/>
      <w:iCs/>
      <w:color w:val="2F5496" w:themeColor="accent1" w:themeShade="BF"/>
    </w:rPr>
  </w:style>
  <w:style w:type="character" w:styleId="IntenseReference">
    <w:name w:val="Intense Reference"/>
    <w:basedOn w:val="DefaultParagraphFont"/>
    <w:uiPriority w:val="32"/>
    <w:qFormat/>
    <w:rsid w:val="00A52F8C"/>
    <w:rPr>
      <w:b/>
      <w:bCs/>
      <w:smallCaps/>
      <w:color w:val="2F5496" w:themeColor="accent1" w:themeShade="BF"/>
      <w:spacing w:val="5"/>
    </w:rPr>
  </w:style>
  <w:style w:type="paragraph" w:customStyle="1" w:styleId="psection-1">
    <w:name w:val="psection-1"/>
    <w:basedOn w:val="Normal"/>
    <w:rsid w:val="000679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numxml">
    <w:name w:val="enumxml"/>
    <w:basedOn w:val="DefaultParagraphFont"/>
    <w:rsid w:val="0006790E"/>
  </w:style>
  <w:style w:type="character" w:customStyle="1" w:styleId="et03">
    <w:name w:val="et03"/>
    <w:basedOn w:val="DefaultParagraphFont"/>
    <w:rsid w:val="0006790E"/>
  </w:style>
  <w:style w:type="paragraph" w:customStyle="1" w:styleId="psection-2">
    <w:name w:val="psection-2"/>
    <w:basedOn w:val="Normal"/>
    <w:rsid w:val="000679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06790E"/>
    <w:rPr>
      <w:color w:val="0000FF"/>
      <w:u w:val="single"/>
    </w:rPr>
  </w:style>
  <w:style w:type="character" w:customStyle="1" w:styleId="su">
    <w:name w:val="su"/>
    <w:basedOn w:val="DefaultParagraphFont"/>
    <w:rsid w:val="0006790E"/>
  </w:style>
  <w:style w:type="paragraph" w:styleId="NormalWeb">
    <w:name w:val="Normal (Web)"/>
    <w:basedOn w:val="Normal"/>
    <w:uiPriority w:val="99"/>
    <w:semiHidden/>
    <w:unhideWhenUsed/>
    <w:rsid w:val="000679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section-3">
    <w:name w:val="psection-3"/>
    <w:basedOn w:val="Normal"/>
    <w:rsid w:val="000679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r">
    <w:name w:val="fr"/>
    <w:basedOn w:val="DefaultParagraphFont"/>
    <w:rsid w:val="00067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7436848">
      <w:bodyDiv w:val="1"/>
      <w:marLeft w:val="0"/>
      <w:marRight w:val="0"/>
      <w:marTop w:val="0"/>
      <w:marBottom w:val="0"/>
      <w:divBdr>
        <w:top w:val="none" w:sz="0" w:space="0" w:color="auto"/>
        <w:left w:val="none" w:sz="0" w:space="0" w:color="auto"/>
        <w:bottom w:val="none" w:sz="0" w:space="0" w:color="auto"/>
        <w:right w:val="none" w:sz="0" w:space="0" w:color="auto"/>
      </w:divBdr>
      <w:divsChild>
        <w:div w:id="832795337">
          <w:marLeft w:val="0"/>
          <w:marRight w:val="0"/>
          <w:marTop w:val="0"/>
          <w:marBottom w:val="0"/>
          <w:divBdr>
            <w:top w:val="none" w:sz="0" w:space="0" w:color="auto"/>
            <w:left w:val="none" w:sz="0" w:space="0" w:color="auto"/>
            <w:bottom w:val="none" w:sz="0" w:space="0" w:color="auto"/>
            <w:right w:val="none" w:sz="0" w:space="0" w:color="auto"/>
          </w:divBdr>
        </w:div>
        <w:div w:id="558173325">
          <w:marLeft w:val="0"/>
          <w:marRight w:val="0"/>
          <w:marTop w:val="0"/>
          <w:marBottom w:val="0"/>
          <w:divBdr>
            <w:top w:val="none" w:sz="0" w:space="0" w:color="auto"/>
            <w:left w:val="none" w:sz="0" w:space="0" w:color="auto"/>
            <w:bottom w:val="none" w:sz="0" w:space="0" w:color="auto"/>
            <w:right w:val="none" w:sz="0" w:space="0" w:color="auto"/>
          </w:divBdr>
        </w:div>
        <w:div w:id="2121948934">
          <w:marLeft w:val="0"/>
          <w:marRight w:val="0"/>
          <w:marTop w:val="0"/>
          <w:marBottom w:val="0"/>
          <w:divBdr>
            <w:top w:val="none" w:sz="0" w:space="0" w:color="auto"/>
            <w:left w:val="none" w:sz="0" w:space="0" w:color="auto"/>
            <w:bottom w:val="none" w:sz="0" w:space="0" w:color="auto"/>
            <w:right w:val="none" w:sz="0" w:space="0" w:color="auto"/>
          </w:divBdr>
        </w:div>
        <w:div w:id="262149087">
          <w:marLeft w:val="0"/>
          <w:marRight w:val="0"/>
          <w:marTop w:val="0"/>
          <w:marBottom w:val="0"/>
          <w:divBdr>
            <w:top w:val="none" w:sz="0" w:space="0" w:color="auto"/>
            <w:left w:val="none" w:sz="0" w:space="0" w:color="auto"/>
            <w:bottom w:val="none" w:sz="0" w:space="0" w:color="auto"/>
            <w:right w:val="none" w:sz="0" w:space="0" w:color="auto"/>
          </w:divBdr>
        </w:div>
        <w:div w:id="1577669929">
          <w:marLeft w:val="0"/>
          <w:marRight w:val="0"/>
          <w:marTop w:val="0"/>
          <w:marBottom w:val="0"/>
          <w:divBdr>
            <w:top w:val="none" w:sz="0" w:space="0" w:color="auto"/>
            <w:left w:val="none" w:sz="0" w:space="0" w:color="auto"/>
            <w:bottom w:val="none" w:sz="0" w:space="0" w:color="auto"/>
            <w:right w:val="none" w:sz="0" w:space="0" w:color="auto"/>
          </w:divBdr>
        </w:div>
        <w:div w:id="4687887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21"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42"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63"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84" Type="http://schemas.openxmlformats.org/officeDocument/2006/relationships/hyperlink" Target="https://www.law.cornell.edu/definitions/index.php?width=840&amp;height=800&amp;iframe=true&amp;def_id=021716350d1408aae6cbdd05635536ba&amp;term_occur=999&amp;term_src=Title:12:Chapter:II:Subchapter:A:Part:226:Subpart:C:226.23" TargetMode="External"/><Relationship Id="rId138" Type="http://schemas.openxmlformats.org/officeDocument/2006/relationships/theme" Target="theme/theme1.xml"/><Relationship Id="rId16" Type="http://schemas.openxmlformats.org/officeDocument/2006/relationships/hyperlink" Target="https://www.law.cornell.edu/definitions/index.php?width=840&amp;height=800&amp;iframe=true&amp;def_id=074b36a9831ec272d50a0786c521cf34&amp;term_occur=999&amp;term_src=Title:12:Chapter:II:Subchapter:A:Part:226:Subpart:C:226.23" TargetMode="External"/><Relationship Id="rId107"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11" Type="http://schemas.openxmlformats.org/officeDocument/2006/relationships/hyperlink" Target="https://www.law.cornell.edu/definitions/index.php?width=840&amp;height=800&amp;iframe=true&amp;def_id=074b36a9831ec272d50a0786c521cf34&amp;term_occur=999&amp;term_src=Title:12:Chapter:II:Subchapter:A:Part:226:Subpart:C:226.23" TargetMode="External"/><Relationship Id="rId32"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37" Type="http://schemas.openxmlformats.org/officeDocument/2006/relationships/hyperlink" Target="https://www.law.cornell.edu/definitions/index.php?width=840&amp;height=800&amp;iframe=true&amp;def_id=c01d747f0f7fdb549c47efaa939c1511&amp;term_occur=999&amp;term_src=Title:12:Chapter:II:Subchapter:A:Part:226:Subpart:C:226.23" TargetMode="External"/><Relationship Id="rId53" Type="http://schemas.openxmlformats.org/officeDocument/2006/relationships/hyperlink" Target="https://www.law.cornell.edu/definitions/index.php?width=840&amp;height=800&amp;iframe=true&amp;def_id=be5a565fc898e1194836bbb2a143b921&amp;term_occur=999&amp;term_src=Title:12:Chapter:II:Subchapter:A:Part:226:Subpart:C:226.23" TargetMode="External"/><Relationship Id="rId58" Type="http://schemas.openxmlformats.org/officeDocument/2006/relationships/hyperlink" Target="https://www.law.cornell.edu/cfr/text/12/226.23" TargetMode="External"/><Relationship Id="rId74"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79" Type="http://schemas.openxmlformats.org/officeDocument/2006/relationships/hyperlink" Target="https://www.law.cornell.edu/definitions/index.php?width=840&amp;height=800&amp;iframe=true&amp;def_id=ae8edf93813b8e388c43b50fb49fc1b1&amp;term_occur=999&amp;term_src=Title:12:Chapter:II:Subchapter:A:Part:226:Subpart:C:226.23" TargetMode="External"/><Relationship Id="rId102"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123"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128" Type="http://schemas.openxmlformats.org/officeDocument/2006/relationships/hyperlink" Target="https://www.law.cornell.edu/definitions/index.php?width=840&amp;height=800&amp;iframe=true&amp;def_id=074b36a9831ec272d50a0786c521cf34&amp;term_occur=999&amp;term_src=Title:12:Chapter:II:Subchapter:A:Part:226:Subpart:C:226.23" TargetMode="External"/><Relationship Id="rId5" Type="http://schemas.openxmlformats.org/officeDocument/2006/relationships/hyperlink" Target="https://www.law.cornell.edu/definitions/index.php?width=840&amp;height=800&amp;iframe=true&amp;def_id=be5a565fc898e1194836bbb2a143b921&amp;term_occur=999&amp;term_src=Title:12:Chapter:II:Subchapter:A:Part:226:Subpart:C:226.23" TargetMode="External"/><Relationship Id="rId90"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95" Type="http://schemas.openxmlformats.org/officeDocument/2006/relationships/hyperlink" Target="https://www.law.cornell.edu/definitions/index.php?width=840&amp;height=800&amp;iframe=true&amp;def_id=ae8edf93813b8e388c43b50fb49fc1b1&amp;term_occur=999&amp;term_src=Title:12:Chapter:II:Subchapter:A:Part:226:Subpart:C:226.23" TargetMode="External"/><Relationship Id="rId22"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27"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43"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48" Type="http://schemas.openxmlformats.org/officeDocument/2006/relationships/hyperlink" Target="https://www.law.cornell.edu/definitions/index.php?width=840&amp;height=800&amp;iframe=true&amp;def_id=be5a565fc898e1194836bbb2a143b921&amp;term_occur=999&amp;term_src=Title:12:Chapter:II:Subchapter:A:Part:226:Subpart:C:226.23" TargetMode="External"/><Relationship Id="rId64"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69" Type="http://schemas.openxmlformats.org/officeDocument/2006/relationships/hyperlink" Target="https://www.law.cornell.edu/definitions/index.php?width=840&amp;height=800&amp;iframe=true&amp;def_id=074b36a9831ec272d50a0786c521cf34&amp;term_occur=999&amp;term_src=Title:12:Chapter:II:Subchapter:A:Part:226:Subpart:C:226.23" TargetMode="External"/><Relationship Id="rId113" Type="http://schemas.openxmlformats.org/officeDocument/2006/relationships/hyperlink" Target="https://www.law.cornell.edu/cfr/text/12/226.23" TargetMode="External"/><Relationship Id="rId118"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134" Type="http://schemas.openxmlformats.org/officeDocument/2006/relationships/hyperlink" Target="https://www.law.cornell.edu/definitions/index.php?width=840&amp;height=800&amp;iframe=true&amp;def_id=074b36a9831ec272d50a0786c521cf34&amp;term_occur=999&amp;term_src=Title:12:Chapter:II:Subchapter:A:Part:226:Subpart:C:226.23" TargetMode="External"/><Relationship Id="rId80" Type="http://schemas.openxmlformats.org/officeDocument/2006/relationships/hyperlink" Target="https://www.law.cornell.edu/uscode/text/42/5170" TargetMode="External"/><Relationship Id="rId85"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2" Type="http://schemas.openxmlformats.org/officeDocument/2006/relationships/hyperlink" Target="https://www.law.cornell.edu/definitions/index.php?width=840&amp;height=800&amp;iframe=true&amp;def_id=be5a565fc898e1194836bbb2a143b921&amp;term_occur=999&amp;term_src=Title:12:Chapter:II:Subchapter:A:Part:226:Subpart:C:226.23" TargetMode="External"/><Relationship Id="rId17"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33"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38"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59"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103" Type="http://schemas.openxmlformats.org/officeDocument/2006/relationships/hyperlink" Target="https://www.law.cornell.edu/definitions/index.php?width=840&amp;height=800&amp;iframe=true&amp;def_id=ae8edf93813b8e388c43b50fb49fc1b1&amp;term_occur=999&amp;term_src=Title:12:Chapter:II:Subchapter:A:Part:226:Subpart:C:226.23" TargetMode="External"/><Relationship Id="rId108" Type="http://schemas.openxmlformats.org/officeDocument/2006/relationships/hyperlink" Target="https://www.law.cornell.edu/definitions/index.php?width=840&amp;height=800&amp;iframe=true&amp;def_id=d127abb29c74afa799a0d68bfbd04ba9&amp;term_occur=999&amp;term_src=Title:12:Chapter:II:Subchapter:A:Part:226:Subpart:C:226.23" TargetMode="External"/><Relationship Id="rId124"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129"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54"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70"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75"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91" Type="http://schemas.openxmlformats.org/officeDocument/2006/relationships/hyperlink" Target="https://www.law.cornell.edu/cfr/text/12/226.23" TargetMode="External"/><Relationship Id="rId96" Type="http://schemas.openxmlformats.org/officeDocument/2006/relationships/hyperlink" Target="https://www.law.cornell.edu/uscode/text/42/5170" TargetMode="External"/><Relationship Id="rId1" Type="http://schemas.openxmlformats.org/officeDocument/2006/relationships/styles" Target="styles.xml"/><Relationship Id="rId6"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23" Type="http://schemas.openxmlformats.org/officeDocument/2006/relationships/hyperlink" Target="https://www.law.cornell.edu/definitions/index.php?width=840&amp;height=800&amp;iframe=true&amp;def_id=1d56a11380641e2377f98eff94e84360&amp;term_occur=999&amp;term_src=Title:12:Chapter:II:Subchapter:A:Part:226:Subpart:C:226.23" TargetMode="External"/><Relationship Id="rId28"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49"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14"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19" Type="http://schemas.openxmlformats.org/officeDocument/2006/relationships/hyperlink" Target="https://www.law.cornell.edu/definitions/index.php?width=840&amp;height=800&amp;iframe=true&amp;def_id=3c33a30298aa1b091b97935a71a8c4e3&amp;term_occur=999&amp;term_src=Title:12:Chapter:II:Subchapter:A:Part:226:Subpart:C:226.23" TargetMode="External"/><Relationship Id="rId44" Type="http://schemas.openxmlformats.org/officeDocument/2006/relationships/hyperlink" Target="https://www.law.cornell.edu/cfr/text/12/226.23" TargetMode="External"/><Relationship Id="rId60"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65"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81"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86" Type="http://schemas.openxmlformats.org/officeDocument/2006/relationships/hyperlink" Target="https://www.law.cornell.edu/definitions/index.php?width=840&amp;height=800&amp;iframe=true&amp;def_id=c01d747f0f7fdb549c47efaa939c1511&amp;term_occur=999&amp;term_src=Title:12:Chapter:II:Subchapter:A:Part:226:Subpart:C:226.23" TargetMode="External"/><Relationship Id="rId130"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135"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13"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8" Type="http://schemas.openxmlformats.org/officeDocument/2006/relationships/hyperlink" Target="https://www.law.cornell.edu/cfr/text/12/226.23" TargetMode="External"/><Relationship Id="rId39"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109" Type="http://schemas.openxmlformats.org/officeDocument/2006/relationships/hyperlink" Target="https://www.law.cornell.edu/definitions/index.php?width=840&amp;height=800&amp;iframe=true&amp;def_id=59e45ae9091f57b678f4c9e20dc65787&amp;term_occur=999&amp;term_src=Title:12:Chapter:II:Subchapter:A:Part:226:Subpart:C:226.23" TargetMode="External"/><Relationship Id="rId34"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50"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55"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76" Type="http://schemas.openxmlformats.org/officeDocument/2006/relationships/hyperlink" Target="https://www.law.cornell.edu/cfr/text/12/226.23" TargetMode="External"/><Relationship Id="rId97"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104"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20"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125"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7" Type="http://schemas.openxmlformats.org/officeDocument/2006/relationships/hyperlink" Target="https://www.law.cornell.edu/definitions/index.php?width=840&amp;height=800&amp;iframe=true&amp;def_id=c01d747f0f7fdb549c47efaa939c1511&amp;term_occur=999&amp;term_src=Title:12:Chapter:II:Subchapter:A:Part:226:Subpart:C:226.23" TargetMode="External"/><Relationship Id="rId71"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92" Type="http://schemas.openxmlformats.org/officeDocument/2006/relationships/hyperlink" Target="https://www.law.cornell.edu/definitions/index.php?width=840&amp;height=800&amp;iframe=true&amp;def_id=021716350d1408aae6cbdd05635536ba&amp;term_occur=999&amp;term_src=Title:12:Chapter:II:Subchapter:A:Part:226:Subpart:C:226.23" TargetMode="External"/><Relationship Id="rId2" Type="http://schemas.openxmlformats.org/officeDocument/2006/relationships/settings" Target="settings.xml"/><Relationship Id="rId29" Type="http://schemas.openxmlformats.org/officeDocument/2006/relationships/hyperlink" Target="https://www.law.cornell.edu/cfr/text/12/226.32" TargetMode="External"/><Relationship Id="rId24" Type="http://schemas.openxmlformats.org/officeDocument/2006/relationships/hyperlink" Target="https://www.law.cornell.edu/definitions/index.php?width=840&amp;height=800&amp;iframe=true&amp;def_id=68498bcb0a8b8f953a8466a608a734ee&amp;term_occur=999&amp;term_src=Title:12:Chapter:II:Subchapter:A:Part:226:Subpart:C:226.23" TargetMode="External"/><Relationship Id="rId40" Type="http://schemas.openxmlformats.org/officeDocument/2006/relationships/hyperlink" Target="https://www.law.cornell.edu/cfr/text/12/226.23" TargetMode="External"/><Relationship Id="rId45"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66" Type="http://schemas.openxmlformats.org/officeDocument/2006/relationships/hyperlink" Target="https://www.law.cornell.edu/definitions/index.php?width=840&amp;height=800&amp;iframe=true&amp;def_id=770ae2aa1e5fc1bb961b121103b2efb9&amp;term_occur=999&amp;term_src=Title:12:Chapter:II:Subchapter:A:Part:226:Subpart:C:226.23" TargetMode="External"/><Relationship Id="rId87" Type="http://schemas.openxmlformats.org/officeDocument/2006/relationships/hyperlink" Target="https://www.law.cornell.edu/definitions/index.php?width=840&amp;height=800&amp;iframe=true&amp;def_id=ae8edf93813b8e388c43b50fb49fc1b1&amp;term_occur=999&amp;term_src=Title:12:Chapter:II:Subchapter:A:Part:226:Subpart:C:226.23" TargetMode="External"/><Relationship Id="rId110"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115" Type="http://schemas.openxmlformats.org/officeDocument/2006/relationships/hyperlink" Target="https://www.law.cornell.edu/cfr/text/12/226.20" TargetMode="External"/><Relationship Id="rId131"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36"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61"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82"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9"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4" Type="http://schemas.openxmlformats.org/officeDocument/2006/relationships/hyperlink" Target="https://www.law.cornell.edu/definitions/index.php?width=840&amp;height=800&amp;iframe=true&amp;def_id=c01d747f0f7fdb549c47efaa939c1511&amp;term_occur=999&amp;term_src=Title:12:Chapter:II:Subchapter:A:Part:226:Subpart:C:226.23" TargetMode="External"/><Relationship Id="rId30"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35" Type="http://schemas.openxmlformats.org/officeDocument/2006/relationships/hyperlink" Target="https://www.law.cornell.edu/definitions/index.php?width=840&amp;height=800&amp;iframe=true&amp;def_id=be5a565fc898e1194836bbb2a143b921&amp;term_occur=999&amp;term_src=Title:12:Chapter:II:Subchapter:A:Part:226:Subpart:C:226.23" TargetMode="External"/><Relationship Id="rId56"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77"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00" Type="http://schemas.openxmlformats.org/officeDocument/2006/relationships/hyperlink" Target="https://www.law.cornell.edu/definitions/index.php?width=840&amp;height=800&amp;iframe=true&amp;def_id=021716350d1408aae6cbdd05635536ba&amp;term_occur=999&amp;term_src=Title:12:Chapter:II:Subchapter:A:Part:226:Subpart:C:226.23" TargetMode="External"/><Relationship Id="rId105" Type="http://schemas.openxmlformats.org/officeDocument/2006/relationships/hyperlink" Target="https://www.law.cornell.edu/definitions/index.php?width=840&amp;height=800&amp;iframe=true&amp;def_id=c01d747f0f7fdb549c47efaa939c1511&amp;term_occur=999&amp;term_src=Title:12:Chapter:II:Subchapter:A:Part:226:Subpart:C:226.23" TargetMode="External"/><Relationship Id="rId126" Type="http://schemas.openxmlformats.org/officeDocument/2006/relationships/hyperlink" Target="https://www.law.cornell.edu/definitions/index.php?width=840&amp;height=800&amp;iframe=true&amp;def_id=c01d747f0f7fdb549c47efaa939c1511&amp;term_occur=999&amp;term_src=Title:12:Chapter:II:Subchapter:A:Part:226:Subpart:C:226.23" TargetMode="External"/><Relationship Id="rId8"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51" Type="http://schemas.openxmlformats.org/officeDocument/2006/relationships/hyperlink" Target="https://www.law.cornell.edu/definitions/index.php?width=840&amp;height=800&amp;iframe=true&amp;def_id=770ae2aa1e5fc1bb961b121103b2efb9&amp;term_occur=999&amp;term_src=Title:12:Chapter:II:Subchapter:A:Part:226:Subpart:C:226.23" TargetMode="External"/><Relationship Id="rId72" Type="http://schemas.openxmlformats.org/officeDocument/2006/relationships/hyperlink" Target="https://www.law.cornell.edu/definitions/index.php?width=840&amp;height=800&amp;iframe=true&amp;def_id=ae8edf93813b8e388c43b50fb49fc1b1&amp;term_occur=999&amp;term_src=Title:12:Chapter:II:Subchapter:A:Part:226:Subpart:C:226.23" TargetMode="External"/><Relationship Id="rId93"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98"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21" Type="http://schemas.openxmlformats.org/officeDocument/2006/relationships/hyperlink" Target="https://www.law.cornell.edu/cfr/text/12/226.32" TargetMode="External"/><Relationship Id="rId3" Type="http://schemas.openxmlformats.org/officeDocument/2006/relationships/webSettings" Target="webSettings.xml"/><Relationship Id="rId25" Type="http://schemas.openxmlformats.org/officeDocument/2006/relationships/hyperlink" Target="https://www.law.cornell.edu/cfr/text/12/226.23" TargetMode="External"/><Relationship Id="rId46"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67"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116"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137" Type="http://schemas.openxmlformats.org/officeDocument/2006/relationships/fontTable" Target="fontTable.xml"/><Relationship Id="rId20"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41" Type="http://schemas.openxmlformats.org/officeDocument/2006/relationships/hyperlink" Target="https://www.law.cornell.edu/cfr/text/12/226.23" TargetMode="External"/><Relationship Id="rId62"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83" Type="http://schemas.openxmlformats.org/officeDocument/2006/relationships/hyperlink" Target="https://www.law.cornell.edu/cfr/text/12/226.23" TargetMode="External"/><Relationship Id="rId88" Type="http://schemas.openxmlformats.org/officeDocument/2006/relationships/hyperlink" Target="https://www.law.cornell.edu/uscode/text/42/5170" TargetMode="External"/><Relationship Id="rId111" Type="http://schemas.openxmlformats.org/officeDocument/2006/relationships/hyperlink" Target="https://www.law.cornell.edu/definitions/index.php?width=840&amp;height=800&amp;iframe=true&amp;def_id=074b36a9831ec272d50a0786c521cf34&amp;term_occur=999&amp;term_src=Title:12:Chapter:II:Subchapter:A:Part:226:Subpart:C:226.23" TargetMode="External"/><Relationship Id="rId132" Type="http://schemas.openxmlformats.org/officeDocument/2006/relationships/hyperlink" Target="https://www.law.cornell.edu/definitions/index.php?width=840&amp;height=800&amp;iframe=true&amp;def_id=c01d747f0f7fdb549c47efaa939c1511&amp;term_occur=999&amp;term_src=Title:12:Chapter:II:Subchapter:A:Part:226:Subpart:C:226.23" TargetMode="External"/><Relationship Id="rId15" Type="http://schemas.openxmlformats.org/officeDocument/2006/relationships/hyperlink" Target="https://www.law.cornell.edu/definitions/index.php?width=840&amp;height=800&amp;iframe=true&amp;def_id=be5a565fc898e1194836bbb2a143b921&amp;term_occur=999&amp;term_src=Title:12:Chapter:II:Subchapter:A:Part:226:Subpart:C:226.23" TargetMode="External"/><Relationship Id="rId36"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57" Type="http://schemas.openxmlformats.org/officeDocument/2006/relationships/hyperlink" Target="https://www.law.cornell.edu/definitions/index.php?width=840&amp;height=800&amp;iframe=true&amp;def_id=074b36a9831ec272d50a0786c521cf34&amp;term_occur=999&amp;term_src=Title:12:Chapter:II:Subchapter:A:Part:226:Subpart:C:226.23" TargetMode="External"/><Relationship Id="rId106"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127" Type="http://schemas.openxmlformats.org/officeDocument/2006/relationships/hyperlink" Target="https://www.law.cornell.edu/definitions/index.php?width=840&amp;height=800&amp;iframe=true&amp;def_id=ae8edf93813b8e388c43b50fb49fc1b1&amp;term_occur=999&amp;term_src=Title:12:Chapter:II:Subchapter:A:Part:226:Subpart:C:226.23" TargetMode="External"/><Relationship Id="rId10" Type="http://schemas.openxmlformats.org/officeDocument/2006/relationships/hyperlink" Target="https://www.law.cornell.edu/cfr/text/12/226.23" TargetMode="External"/><Relationship Id="rId31"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52"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73"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78" Type="http://schemas.openxmlformats.org/officeDocument/2006/relationships/hyperlink" Target="https://www.law.cornell.edu/definitions/index.php?width=840&amp;height=800&amp;iframe=true&amp;def_id=c01d747f0f7fdb549c47efaa939c1511&amp;term_occur=999&amp;term_src=Title:12:Chapter:II:Subchapter:A:Part:226:Subpart:C:226.23" TargetMode="External"/><Relationship Id="rId94" Type="http://schemas.openxmlformats.org/officeDocument/2006/relationships/hyperlink" Target="https://www.law.cornell.edu/definitions/index.php?width=840&amp;height=800&amp;iframe=true&amp;def_id=c01d747f0f7fdb549c47efaa939c1511&amp;term_occur=999&amp;term_src=Title:12:Chapter:II:Subchapter:A:Part:226:Subpart:C:226.23" TargetMode="External"/><Relationship Id="rId99" Type="http://schemas.openxmlformats.org/officeDocument/2006/relationships/hyperlink" Target="https://www.law.cornell.edu/cfr/text/12/226.23" TargetMode="External"/><Relationship Id="rId101" Type="http://schemas.openxmlformats.org/officeDocument/2006/relationships/hyperlink" Target="https://www.law.cornell.edu/definitions/index.php?width=840&amp;height=800&amp;iframe=true&amp;def_id=3c33a30298aa1b091b97935a71a8c4e3&amp;term_occur=999&amp;term_src=Title:12:Chapter:II:Subchapter:A:Part:226:Subpart:C:226.23" TargetMode="External"/><Relationship Id="rId122" Type="http://schemas.openxmlformats.org/officeDocument/2006/relationships/hyperlink" Target="https://www.law.cornell.edu/definitions/index.php?width=840&amp;height=800&amp;iframe=true&amp;def_id=045646c2b5e55b779ec9397675847d46&amp;term_occur=999&amp;term_src=Title:12:Chapter:II:Subchapter:A:Part:226:Subpart:C:226.23" TargetMode="External"/><Relationship Id="rId4" Type="http://schemas.openxmlformats.org/officeDocument/2006/relationships/hyperlink" Target="https://www.law.cornell.edu/definitions/index.php?width=840&amp;height=800&amp;iframe=true&amp;def_id=ae8edf93813b8e388c43b50fb49fc1b1&amp;term_occur=999&amp;term_src=Title:12:Chapter:II:Subchapter:A:Part:226:Subpart:C:226.23" TargetMode="External"/><Relationship Id="rId9" Type="http://schemas.openxmlformats.org/officeDocument/2006/relationships/hyperlink" Target="https://www.law.cornell.edu/definitions/index.php?width=840&amp;height=800&amp;iframe=true&amp;def_id=be5a565fc898e1194836bbb2a143b921&amp;term_occur=999&amp;term_src=Title:12:Chapter:II:Subchapter:A:Part:226:Subpart:C:226.23" TargetMode="External"/><Relationship Id="rId26" Type="http://schemas.openxmlformats.org/officeDocument/2006/relationships/hyperlink" Target="https://www.law.cornell.edu/definitions/index.php?width=840&amp;height=800&amp;iframe=true&amp;def_id=68498bcb0a8b8f953a8466a608a734ee&amp;term_occur=999&amp;term_src=Title:12:Chapter:II:Subchapter:A:Part:226:Subpart:C:226.23" TargetMode="External"/><Relationship Id="rId47"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68" Type="http://schemas.openxmlformats.org/officeDocument/2006/relationships/hyperlink" Target="https://www.law.cornell.edu/definitions/index.php?width=840&amp;height=800&amp;iframe=true&amp;def_id=4dfbf5190928dbef14a07b11ea2dcfa0&amp;term_occur=999&amp;term_src=Title:12:Chapter:II:Subchapter:A:Part:226:Subpart:C:226.23" TargetMode="External"/><Relationship Id="rId89" Type="http://schemas.openxmlformats.org/officeDocument/2006/relationships/hyperlink" Target="https://www.law.cornell.edu/definitions/index.php?width=840&amp;height=800&amp;iframe=true&amp;def_id=677cd07b2317f0079bf4b5e7e8fe65d2&amp;term_occur=999&amp;term_src=Title:12:Chapter:II:Subchapter:A:Part:226:Subpart:C:226.23" TargetMode="External"/><Relationship Id="rId112" Type="http://schemas.openxmlformats.org/officeDocument/2006/relationships/hyperlink" Target="https://www.law.cornell.edu/cfr/text/12/226.17" TargetMode="External"/><Relationship Id="rId133" Type="http://schemas.openxmlformats.org/officeDocument/2006/relationships/hyperlink" Target="https://www.law.cornell.edu/definitions/index.php?width=840&amp;height=800&amp;iframe=true&amp;def_id=ae8edf93813b8e388c43b50fb49fc1b1&amp;term_occur=999&amp;term_src=Title:12:Chapter:II:Subchapter:A:Part:226:Subpart:C:22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5616</Words>
  <Characters>32012</Characters>
  <Application>Microsoft Office Word</Application>
  <DocSecurity>0</DocSecurity>
  <Lines>266</Lines>
  <Paragraphs>75</Paragraphs>
  <ScaleCrop>false</ScaleCrop>
  <Company/>
  <LinksUpToDate>false</LinksUpToDate>
  <CharactersWithSpaces>37553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Williams</dc:creator>
  <cp:keywords/>
  <dc:description/>
  <cp:lastModifiedBy>Shawn Williams</cp:lastModifiedBy>
  <cp:revision>3</cp:revision>
  <dcterms:created xsi:type="dcterms:W3CDTF">2024-05-13T18:50:00Z</dcterms:created>
  <dcterms:modified xsi:type="dcterms:W3CDTF">2024-05-13T19:20:00Z</dcterms:modified>
</cp:coreProperties>
</file>