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kernel mode and user mode?  (You must know this for CSCI 435!)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kernel mode is intended to run the operating system and allows all instruction to be executed.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mode is intended to run application programs and does not permit ceratin sensitive instructions to be executed.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Expanding opcodes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expanding opcode is an opcode that can expand  its length  taking space when need it where usually the address are hold. This proccess in a  16 bit instruction gives the possibility to have   15 three addresses insruction, 14 2 addresses instruction 31 one addresses instruction and 16 0 addresses instruction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Prefix opcodes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opcodes that have bytes  infront of the instruction in order to change is 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Operands, type and addressing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Operands are entities operated upon by the instruction</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Instructions work on sources of data called operands.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Here are the Operand Types and corresponding Addressing Modes: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Register - an 8-bit or 16-bit register on the 808680486, 32-bit on the 80386/486/Pentium.</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Immediate - a constant value contained in the instruction itself.</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Direct memory - a fixed location in memory.</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Indirect memory - a memory location determined at run time by using the address stored in one or two registers.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 are the type of instruction is going to be performed on the opcode</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auto"/>
          <w:spacing w:val="0"/>
          <w:position w:val="0"/>
          <w:sz w:val="22"/>
          <w:shd w:fill="auto" w:val="clear"/>
        </w:rPr>
        <w:t xml:space="preserve">addressing  is the location of where  the operands are located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 Addressing Modes.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Immediate Addressing.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operand it self is contained in the address. The operand is called imidiate operand because it is automatically fetched from memory at the same time the instruction itself is fetched.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has the virtue of not requirinf an extra  fetch in memory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-disdvatages using small integer constants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Direct  Addressing (Absolute Addressing).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address encoded directly in the instruction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 can change, but address determined at compile/assemble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only really be used for global variables who address is known ar compile time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Register Addressing.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 register 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direct addressing, but instead of the instruction containing a memory address, it contains a register address (i.e., register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of the previous examples used register addressing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MOV R1,R4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most common type of addressing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 load/store architectures (e.g., UltraSPARC II) all instructions use this mode exclusively (except the load and store instructions)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Register Indirect Addressing (Indirect Addressing).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memory address of the operand is stored in a register, and the register number is stored in the instruction. An address used this way is called a pointer.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Indexed Addressing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 is given as an offset (displacement) to an address held in a register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exactly what we used to reference local variables and parameters in IJVM where the address was in the LV register.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even invert this, where the memory location is in the instruction, and the offset is in a register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Implied Addressing.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Implied addressing is an addressing mode which specifies no address at all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Offset or Relative Addressing.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Relative addressing is the addressing mode used by all conditional-branch instructions in the 65xx instruction set: Beyond the opcode for the instruction itself, all these instructions take up a single, signed-integer byte that specifies, in relative terms, how far "up" or "down" to jump if the required conditions are met: This signed 8-bit figure is called the offset.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Scale, index, base.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Is an additional byte that specifies  a scale factor as well as two registers.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Branching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Unconditional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results in always brancing.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if a condition is met then branch to a particular memory address to execute the instruction.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Subroutine and return (link in mips, $ra register)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Interrupt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 of conditional branching, flag registers, register set and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