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4"/>
          <w:szCs w:val="24"/>
        </w:rPr>
        <w:t xml:space="preserve">ML-Enhanced Driver-Carrier Matching: A Platform Architecture for</w:t>
      </w:r>
    </w:p>
    <w:p>
      <w:pPr>
        <w:spacing w:after="240"/>
        <w:jc w:val="center"/>
      </w:pPr>
      <w:r>
        <w:rPr>
          <w:rFonts w:ascii="Times New Roman" w:cs="Times New Roman" w:eastAsia="Times New Roman" w:hAnsi="Times New Roman"/>
          <w:b/>
          <w:bCs/>
          <w:sz w:val="24"/>
          <w:szCs w:val="24"/>
        </w:rPr>
        <w:t xml:space="preserve">Eliminating Bias and Engineering Retention in Long-Haul Trucking</w:t>
      </w:r>
    </w:p>
    <w:p>
      <w:pPr>
        <w:spacing w:after="0"/>
        <w:jc w:val="center"/>
      </w:pPr>
      <w:r>
        <w:rPr>
          <w:rFonts w:ascii="Times New Roman" w:cs="Times New Roman" w:eastAsia="Times New Roman" w:hAnsi="Times New Roman"/>
          <w:sz w:val="24"/>
          <w:szCs w:val="24"/>
        </w:rPr>
        <w:t xml:space="preserve">Levy Rivers</w:t>
      </w:r>
    </w:p>
    <w:p>
      <w:pPr>
        <w:spacing w:after="480"/>
        <w:jc w:val="center"/>
      </w:pPr>
      <w:r>
        <w:rPr>
          <w:rFonts w:ascii="Times New Roman" w:cs="Times New Roman" w:eastAsia="Times New Roman" w:hAnsi="Times New Roman"/>
          <w:sz w:val="24"/>
          <w:szCs w:val="24"/>
        </w:rPr>
        <w:t xml:space="preserve">POL 605: Machine Learning, AI &amp; Politics | Spring 2026</w:t>
      </w:r>
    </w:p>
    <w:p>
      <w:pPr>
        <w:pStyle w:val="Heading1"/>
      </w:pPr>
      <w:r>
        <w:rPr>
          <w:rFonts w:ascii="Times New Roman" w:cs="Times New Roman" w:eastAsia="Times New Roman" w:hAnsi="Times New Roman"/>
          <w:b/>
          <w:bCs/>
          <w:sz w:val="24"/>
          <w:szCs w:val="24"/>
        </w:rPr>
        <w:t xml:space="preserve">Abstract</w:t>
      </w:r>
    </w:p>
    <w:p>
      <w:pPr>
        <w:spacing w:after="240" w:line="480" w:lineRule="auto"/>
        <w:jc w:val="both"/>
      </w:pPr>
      <w:r>
        <w:rPr>
          <w:rFonts w:ascii="Times New Roman" w:cs="Times New Roman" w:eastAsia="Times New Roman" w:hAnsi="Times New Roman"/>
          <w:sz w:val="24"/>
          <w:szCs w:val="24"/>
        </w:rPr>
        <w:t xml:space="preserve">The long-haul trucking industry sustains one of the most persistent workforce crises in American commerce, with annual driver turnover rates exceeding 90% at large carriers — a figure that has remained stubbornly elevated for decades despite sustained industry investment and repeated policy attention. The 2024 National Academies of Sciences, Engineering, and Medicine (NASEM) report challenges the conventional labor-supply explanation directly, finding that working conditions — not supply constraints — are the primary drivers of attrition. This finding is corroborated by a growing body of research on algorithmic bias in labor markets: Chen et al. (2023) demonstrate that AI hiring tools trained on historical decisions systematically encode demographic and credential-based biases, while Shankar et al. (2025) document how AI hiring algorithms embed discriminatory proxies that reproduce structural inequity at scale. This presentation introduces VelocityMatch, a dual-orientation machine learning platform designed to address this failure at its root. Rather than functioning as a simple job board, VelocityMatch treats every phase of the driver-carrier relationship — from registration through retention — as a structured data capture event. Supervised classification models predict match quality and long-term retention outcomes. Unsupervised clustering surfaces latent compatibility patterns between driver profiles and carrier environments. Crucially, the system trains on actual retention outcomes rather than hiring preferences — a methodological reframing validated by Raza et al. (2022), who demonstrate that ML models trained on outcome-based features achieve significantly higher predictive accuracy for employee retention than those trained on preference-based selection data. This presentation frames VelocityMatch not as a product pitch but as a design architecture and a case study in how machine learning can be deployed in a high-stakes labor context to generate measurable, evidence-based improvements in workforce outcomes.</w:t>
      </w:r>
    </w:p>
    <w:p>
      <w:pPr>
        <w:pStyle w:val="Heading1"/>
      </w:pPr>
      <w:r>
        <w:rPr>
          <w:rFonts w:ascii="Times New Roman" w:cs="Times New Roman" w:eastAsia="Times New Roman" w:hAnsi="Times New Roman"/>
          <w:b/>
          <w:bCs/>
          <w:sz w:val="24"/>
          <w:szCs w:val="24"/>
        </w:rPr>
        <w:t xml:space="preserve">Annotated Outline</w:t>
      </w:r>
    </w:p>
    <w:p>
      <w:pPr>
        <w:pStyle w:val="Heading2"/>
      </w:pPr>
      <w:r>
        <w:rPr>
          <w:rFonts w:ascii="Times New Roman" w:cs="Times New Roman" w:eastAsia="Times New Roman" w:hAnsi="Times New Roman"/>
          <w:b/>
          <w:bCs/>
          <w:sz w:val="24"/>
          <w:szCs w:val="24"/>
        </w:rPr>
        <w:t xml:space="preserve">I. Introduction</w:t>
      </w:r>
    </w:p>
    <w:p>
      <w:pPr>
        <w:pStyle w:val="ListParagraph"/>
        <w:numPr>
          <w:ilvl w:val="0"/>
          <w:numId w:val="2"/>
        </w:numPr>
      </w:pPr>
      <w:r>
        <w:rPr>
          <w:rFonts w:ascii="Times New Roman" w:cs="Times New Roman" w:eastAsia="Times New Roman" w:hAnsi="Times New Roman"/>
          <w:sz w:val="24"/>
          <w:szCs w:val="24"/>
        </w:rPr>
        <w:t xml:space="preserve">Frame the 90%+ annual turnover rate at large carriers as a structural system failure — grounded in NASEM (2024), which directly challenges the labor-supply narrative by identifying working conditions as the primary attrition driver</w:t>
      </w:r>
    </w:p>
    <w:p>
      <w:pPr>
        <w:pStyle w:val="ListParagraph"/>
        <w:numPr>
          <w:ilvl w:val="0"/>
          <w:numId w:val="2"/>
        </w:numPr>
      </w:pPr>
      <w:r>
        <w:rPr>
          <w:rFonts w:ascii="Times New Roman" w:cs="Times New Roman" w:eastAsia="Times New Roman" w:hAnsi="Times New Roman"/>
          <w:sz w:val="24"/>
          <w:szCs w:val="24"/>
        </w:rPr>
        <w:t xml:space="preserve">Introduce the compounding finding from Shankar et al. (2025): that AI systems currently deployed in trucking and logistics hiring encode discriminatory proxies, meaning the industry's technological response to its workforce crisis may be amplifying the problem</w:t>
      </w:r>
    </w:p>
    <w:p>
      <w:pPr>
        <w:pStyle w:val="ListParagraph"/>
        <w:numPr>
          <w:ilvl w:val="0"/>
          <w:numId w:val="2"/>
        </w:numPr>
      </w:pPr>
      <w:r>
        <w:rPr>
          <w:rFonts w:ascii="Times New Roman" w:cs="Times New Roman" w:eastAsia="Times New Roman" w:hAnsi="Times New Roman"/>
          <w:sz w:val="24"/>
          <w:szCs w:val="24"/>
        </w:rPr>
        <w:t xml:space="preserve">Position VelocityMatch as a response to a documented market failure, not a speculative venture — the data infrastructure problem precedes the ML solution</w:t>
      </w:r>
    </w:p>
    <w:p>
      <w:pPr>
        <w:pStyle w:val="ListParagraph"/>
        <w:numPr>
          <w:ilvl w:val="0"/>
          <w:numId w:val="2"/>
        </w:numPr>
      </w:pPr>
      <w:r>
        <w:rPr>
          <w:rFonts w:ascii="Times New Roman" w:cs="Times New Roman" w:eastAsia="Times New Roman" w:hAnsi="Times New Roman"/>
          <w:sz w:val="24"/>
          <w:szCs w:val="24"/>
        </w:rPr>
        <w:t xml:space="preserve">Establish personal and professional stakes: as someone operating in the transportation workforce space, this is not a theoretical exercise</w:t>
      </w:r>
    </w:p>
    <w:p>
      <w:pPr>
        <w:pStyle w:val="ListParagraph"/>
        <w:numPr>
          <w:ilvl w:val="0"/>
          <w:numId w:val="2"/>
        </w:numPr>
      </w:pPr>
      <w:r>
        <w:rPr>
          <w:rFonts w:ascii="Times New Roman" w:cs="Times New Roman" w:eastAsia="Times New Roman" w:hAnsi="Times New Roman"/>
          <w:sz w:val="24"/>
          <w:szCs w:val="24"/>
        </w:rPr>
        <w:t xml:space="preserve">Connect to course themes: algorithmic decision-making, bias in AI hiring systems, and the role of ML in structurally complex labor markets</w:t>
      </w:r>
    </w:p>
    <w:p>
      <w:pPr>
        <w:spacing w:before="160" w:after="240" w:line="480" w:lineRule="auto"/>
      </w:pPr>
      <w:r>
        <w:rPr>
          <w:rFonts w:ascii="Times New Roman" w:cs="Times New Roman" w:eastAsia="Times New Roman" w:hAnsi="Times New Roman"/>
          <w:i/>
          <w:iCs/>
          <w:sz w:val="24"/>
          <w:szCs w:val="24"/>
        </w:rPr>
        <w:t xml:space="preserve">The introduction establishes the trucking industry's turnover crisis as the central problem, grounding it in peer-reviewed evidence — including NASEM (2024) and Shankar et al. (2025) — before introducing VelocityMatch as the design response. It situates the presentation within both the course's AI policy framework and the presenter's professional background in transportation workforce development.</w:t>
      </w:r>
    </w:p>
    <w:p>
      <w:pPr>
        <w:pStyle w:val="Heading2"/>
      </w:pPr>
      <w:r>
        <w:rPr>
          <w:rFonts w:ascii="Times New Roman" w:cs="Times New Roman" w:eastAsia="Times New Roman" w:hAnsi="Times New Roman"/>
          <w:b/>
          <w:bCs/>
          <w:sz w:val="24"/>
          <w:szCs w:val="24"/>
        </w:rPr>
        <w:t xml:space="preserve">II. Background</w:t>
      </w:r>
    </w:p>
    <w:p>
      <w:pPr>
        <w:pStyle w:val="ListParagraph"/>
        <w:numPr>
          <w:ilvl w:val="0"/>
          <w:numId w:val="2"/>
        </w:numPr>
      </w:pPr>
      <w:r>
        <w:rPr>
          <w:rFonts w:ascii="Times New Roman" w:cs="Times New Roman" w:eastAsia="Times New Roman" w:hAnsi="Times New Roman"/>
          <w:sz w:val="24"/>
          <w:szCs w:val="24"/>
        </w:rPr>
        <w:t xml:space="preserve">The CDL-A credential as a federal standardization mechanism: what it equalizes, what it leaves unresolved, and why carriers continue to apply subjective filters beyond it — the exact conditions under which Chen et al. (2023) document AI bias amplification</w:t>
      </w:r>
    </w:p>
    <w:p>
      <w:pPr>
        <w:pStyle w:val="ListParagraph"/>
        <w:numPr>
          <w:ilvl w:val="0"/>
          <w:numId w:val="2"/>
        </w:numPr>
      </w:pPr>
      <w:r>
        <w:rPr>
          <w:rFonts w:ascii="Times New Roman" w:cs="Times New Roman" w:eastAsia="Times New Roman" w:hAnsi="Times New Roman"/>
          <w:sz w:val="24"/>
          <w:szCs w:val="24"/>
        </w:rPr>
        <w:t xml:space="preserve">Overview of supervised learning (classification) and unsupervised learning (clustering) as the two core ML methodologies the platform deploys — and why each serves a distinct function</w:t>
      </w:r>
    </w:p>
    <w:p>
      <w:pPr>
        <w:pStyle w:val="ListParagraph"/>
        <w:numPr>
          <w:ilvl w:val="0"/>
          <w:numId w:val="2"/>
        </w:numPr>
      </w:pPr>
      <w:r>
        <w:rPr>
          <w:rFonts w:ascii="Times New Roman" w:cs="Times New Roman" w:eastAsia="Times New Roman" w:hAnsi="Times New Roman"/>
          <w:sz w:val="24"/>
          <w:szCs w:val="24"/>
        </w:rPr>
        <w:t xml:space="preserve">The bias problem in hiring systems trained on historical decisions: when training data encodes discrimination, the model learns to replicate it — a pattern documented across algorithmic hiring contexts by Shankar et al. (2025) and Chen et al. (2023)</w:t>
      </w:r>
    </w:p>
    <w:p>
      <w:pPr>
        <w:pStyle w:val="ListParagraph"/>
        <w:numPr>
          <w:ilvl w:val="0"/>
          <w:numId w:val="2"/>
        </w:numPr>
      </w:pPr>
      <w:r>
        <w:rPr>
          <w:rFonts w:ascii="Times New Roman" w:cs="Times New Roman" w:eastAsia="Times New Roman" w:hAnsi="Times New Roman"/>
          <w:sz w:val="24"/>
          <w:szCs w:val="24"/>
        </w:rPr>
        <w:t xml:space="preserve">The distinction between predicting hire probability (what most systems do) and predicting retention outcomes (what VelocityMatch does) — and why this reframing is the key methodological innovation, supported by Raza et al.'s (2022) finding that outcome-based features predict attrition more accurately than input-based proxies</w:t>
      </w:r>
    </w:p>
    <w:p>
      <w:pPr>
        <w:pStyle w:val="ListParagraph"/>
        <w:numPr>
          <w:ilvl w:val="0"/>
          <w:numId w:val="2"/>
        </w:numPr>
      </w:pPr>
      <w:r>
        <w:rPr>
          <w:rFonts w:ascii="Times New Roman" w:cs="Times New Roman" w:eastAsia="Times New Roman" w:hAnsi="Times New Roman"/>
          <w:sz w:val="24"/>
          <w:szCs w:val="24"/>
        </w:rPr>
        <w:t xml:space="preserve">Brief review of analogous ML applications in labor market matching (healthcare staffing, gig platforms) to situate VelocityMatch within a recognizable methodological tradition</w:t>
      </w:r>
    </w:p>
    <w:p>
      <w:pPr>
        <w:spacing w:before="160" w:after="240" w:line="480" w:lineRule="auto"/>
      </w:pPr>
      <w:r>
        <w:rPr>
          <w:rFonts w:ascii="Times New Roman" w:cs="Times New Roman" w:eastAsia="Times New Roman" w:hAnsi="Times New Roman"/>
          <w:i/>
          <w:iCs/>
          <w:sz w:val="24"/>
          <w:szCs w:val="24"/>
        </w:rPr>
        <w:t xml:space="preserve">The background section provides the conceptual scaffolding necessary for the audience to understand both the problem and the solution: the regulatory landscape of CDL-A credentialing, the mechanics of the ML methods in use, and the documented patterns of bias in algorithmic hiring systems — established through multiple peer-reviewed sources — that make outcome-based training a necessary corrective.</w:t>
      </w:r>
    </w:p>
    <w:p>
      <w:pPr>
        <w:pStyle w:val="Heading2"/>
      </w:pPr>
      <w:r>
        <w:rPr>
          <w:rFonts w:ascii="Times New Roman" w:cs="Times New Roman" w:eastAsia="Times New Roman" w:hAnsi="Times New Roman"/>
          <w:b/>
          <w:bCs/>
          <w:sz w:val="24"/>
          <w:szCs w:val="24"/>
        </w:rPr>
        <w:t xml:space="preserve">III. Key Findings</w:t>
      </w:r>
    </w:p>
    <w:p>
      <w:pPr>
        <w:pStyle w:val="ListParagraph"/>
        <w:numPr>
          <w:ilvl w:val="0"/>
          <w:numId w:val="2"/>
        </w:numPr>
      </w:pPr>
      <w:r>
        <w:rPr>
          <w:rFonts w:ascii="Times New Roman" w:cs="Times New Roman" w:eastAsia="Times New Roman" w:hAnsi="Times New Roman"/>
          <w:sz w:val="24"/>
          <w:szCs w:val="24"/>
        </w:rPr>
        <w:t xml:space="preserve">Finding 1 — The Progressive Data Pipeline: Treating each interaction phase (registration, application, interview, onboarding, retention check) as a structured data event creates a longitudinal profile that improves predictive accuracy over time — consistent with Raza et al.'s (2022) demonstration that model accuracy increases significantly with richer longitudinal feature sets</w:t>
      </w:r>
    </w:p>
    <w:p>
      <w:pPr>
        <w:pStyle w:val="ListParagraph"/>
        <w:numPr>
          <w:ilvl w:val="0"/>
          <w:numId w:val="2"/>
        </w:numPr>
      </w:pPr>
      <w:r>
        <w:rPr>
          <w:rFonts w:ascii="Times New Roman" w:cs="Times New Roman" w:eastAsia="Times New Roman" w:hAnsi="Times New Roman"/>
          <w:sz w:val="24"/>
          <w:szCs w:val="24"/>
        </w:rPr>
        <w:t xml:space="preserve">Finding 2 — Dual Orientation Architecture: Most platforms optimize for one stakeholder. VelocityMatch serves two simultaneously — matching drivers to carriers while coaching carriers on their own retention drivers — creating a feedback loop that benefits both sides without requiring either to trust the other's self-reporting</w:t>
      </w:r>
    </w:p>
    <w:p>
      <w:pPr>
        <w:pStyle w:val="ListParagraph"/>
        <w:numPr>
          <w:ilvl w:val="0"/>
          <w:numId w:val="2"/>
        </w:numPr>
      </w:pPr>
      <w:r>
        <w:rPr>
          <w:rFonts w:ascii="Times New Roman" w:cs="Times New Roman" w:eastAsia="Times New Roman" w:hAnsi="Times New Roman"/>
          <w:sz w:val="24"/>
          <w:szCs w:val="24"/>
        </w:rPr>
        <w:t xml:space="preserve">Finding 3 — Outcome-Based Training as Bias Correction: Training on actual retention outcomes (did this driver stay 12+ months?) rather than hiring decisions (did this carrier choose to hire?) removes the bias embedded in historical selection patterns. This is precisely the corrective intervention called for by both Chen et al. (2023) and Shankar et al. (2025), who identify outcome-indifferent training data as the primary mechanism through which hiring AI perpetuates discrimination</w:t>
      </w:r>
    </w:p>
    <w:p>
      <w:pPr>
        <w:pStyle w:val="ListParagraph"/>
        <w:numPr>
          <w:ilvl w:val="0"/>
          <w:numId w:val="2"/>
        </w:numPr>
      </w:pPr>
      <w:r>
        <w:rPr>
          <w:rFonts w:ascii="Times New Roman" w:cs="Times New Roman" w:eastAsia="Times New Roman" w:hAnsi="Times New Roman"/>
          <w:sz w:val="24"/>
          <w:szCs w:val="24"/>
        </w:rPr>
        <w:t xml:space="preserve">Finding 4 — Controllable Retention Factors: Unsupervised clustering of retention outcomes reveals that the variables most predictive of long-term retention are carrier-controllable (equipment reliability, pay structure transparency, home-time accuracy, communication responsiveness) — not driver demographics or credentials, aligning with NASEM's (2024) core finding that working conditions drive attrition</w:t>
      </w:r>
    </w:p>
    <w:p>
      <w:pPr>
        <w:pStyle w:val="ListParagraph"/>
        <w:numPr>
          <w:ilvl w:val="0"/>
          <w:numId w:val="2"/>
        </w:numPr>
      </w:pPr>
      <w:r>
        <w:rPr>
          <w:rFonts w:ascii="Times New Roman" w:cs="Times New Roman" w:eastAsia="Times New Roman" w:hAnsi="Times New Roman"/>
          <w:sz w:val="24"/>
          <w:szCs w:val="24"/>
        </w:rPr>
        <w:t xml:space="preserve">Finding 5 — CDL-A as an Equalizer: Because the federal CDL-A credential standardizes qualification, the platform can flag when carriers apply additional filters that function as proxies for demographic screening — converting a bias detection problem into a tractable analytical task and directly operationalizing the bias audit function described by Shankar et al. (2025)</w:t>
      </w:r>
    </w:p>
    <w:p>
      <w:pPr>
        <w:spacing w:before="160" w:after="240" w:line="480" w:lineRule="auto"/>
      </w:pPr>
      <w:r>
        <w:rPr>
          <w:rFonts w:ascii="Times New Roman" w:cs="Times New Roman" w:eastAsia="Times New Roman" w:hAnsi="Times New Roman"/>
          <w:i/>
          <w:iCs/>
          <w:sz w:val="24"/>
          <w:szCs w:val="24"/>
        </w:rPr>
        <w:t xml:space="preserve">The key findings present VelocityMatch's design architecture as the intellectual contribution: five structural decisions — the progressive pipeline, dual orientation, outcome-based training, controllable factor analysis, and credential-based bias detection — each of which represents a departure from how existing platforms approach the driver-carrier matching problem, and each of which is grounded in peer-reviewed evidence from the multi-source literature base.</w:t>
      </w:r>
    </w:p>
    <w:p>
      <w:pPr>
        <w:pStyle w:val="Heading2"/>
      </w:pPr>
      <w:r>
        <w:rPr>
          <w:rFonts w:ascii="Times New Roman" w:cs="Times New Roman" w:eastAsia="Times New Roman" w:hAnsi="Times New Roman"/>
          <w:b/>
          <w:bCs/>
          <w:sz w:val="24"/>
          <w:szCs w:val="24"/>
        </w:rPr>
        <w:t xml:space="preserve">IV. Discussion</w:t>
      </w:r>
    </w:p>
    <w:p>
      <w:pPr>
        <w:pStyle w:val="ListParagraph"/>
        <w:numPr>
          <w:ilvl w:val="0"/>
          <w:numId w:val="2"/>
        </w:numPr>
      </w:pPr>
      <w:r>
        <w:rPr>
          <w:rFonts w:ascii="Times New Roman" w:cs="Times New Roman" w:eastAsia="Times New Roman" w:hAnsi="Times New Roman"/>
          <w:sz w:val="24"/>
          <w:szCs w:val="24"/>
        </w:rPr>
        <w:t xml:space="preserve">Implications for AI policy: when ML systems are trained on outcomes rather than preferences, they can function as bias-auditing tools — raising questions about what regulatory frameworks should require of algorithmic hiring systems in federally regulated industries. The multi-source literature base (NASEM, 2024; Chen et al., 2023; Shankar et al., 2025) provides converging empirical warrant for regulatory intervention</w:t>
      </w:r>
    </w:p>
    <w:p>
      <w:pPr>
        <w:pStyle w:val="ListParagraph"/>
        <w:numPr>
          <w:ilvl w:val="0"/>
          <w:numId w:val="2"/>
        </w:numPr>
      </w:pPr>
      <w:r>
        <w:rPr>
          <w:rFonts w:ascii="Times New Roman" w:cs="Times New Roman" w:eastAsia="Times New Roman" w:hAnsi="Times New Roman"/>
          <w:sz w:val="24"/>
          <w:szCs w:val="24"/>
        </w:rPr>
        <w:t xml:space="preserve">The accountability problem: who is responsible when a retention prediction is wrong? The platform surfaces risk — but the carrier makes the hire. This distributed accountability structure has precedents in credit scoring and medical risk models worth examining</w:t>
      </w:r>
    </w:p>
    <w:p>
      <w:pPr>
        <w:pStyle w:val="ListParagraph"/>
        <w:numPr>
          <w:ilvl w:val="0"/>
          <w:numId w:val="2"/>
        </w:numPr>
      </w:pPr>
      <w:r>
        <w:rPr>
          <w:rFonts w:ascii="Times New Roman" w:cs="Times New Roman" w:eastAsia="Times New Roman" w:hAnsi="Times New Roman"/>
          <w:sz w:val="24"/>
          <w:szCs w:val="24"/>
        </w:rPr>
        <w:t xml:space="preserve">Data power asymmetries: VelocityMatch accumulates a data asset — longitudinal driver-carrier outcome histories — that neither drivers nor carriers possess individually. This raises legitimate questions about who owns that intelligence and how its use is governed</w:t>
      </w:r>
    </w:p>
    <w:p>
      <w:pPr>
        <w:pStyle w:val="ListParagraph"/>
        <w:numPr>
          <w:ilvl w:val="0"/>
          <w:numId w:val="2"/>
        </w:numPr>
      </w:pPr>
      <w:r>
        <w:rPr>
          <w:rFonts w:ascii="Times New Roman" w:cs="Times New Roman" w:eastAsia="Times New Roman" w:hAnsi="Times New Roman"/>
          <w:sz w:val="24"/>
          <w:szCs w:val="24"/>
        </w:rPr>
        <w:t xml:space="preserve">Transferability of the design logic: the progressive pipeline and dual orientation model are not trucking-specific. Raza et al.'s (2022) findings on outcome-based attrition prediction were developed in a general labor market context, suggesting the same architecture is applicable in healthcare staffing, warehouse logistics, and other high-turnover, credential-standardized labor markets</w:t>
      </w:r>
    </w:p>
    <w:p>
      <w:pPr>
        <w:pStyle w:val="ListParagraph"/>
        <w:numPr>
          <w:ilvl w:val="0"/>
          <w:numId w:val="2"/>
        </w:numPr>
      </w:pPr>
      <w:r>
        <w:rPr>
          <w:rFonts w:ascii="Times New Roman" w:cs="Times New Roman" w:eastAsia="Times New Roman" w:hAnsi="Times New Roman"/>
          <w:sz w:val="24"/>
          <w:szCs w:val="24"/>
        </w:rPr>
        <w:t xml:space="preserve">The limits of prediction: ML can identify patterns but cannot mandate change. Carriers who receive coaching data still have discretion over whether to act on it — a reminder that algorithmic tools are only as transformative as the institutional will to use them</w:t>
      </w:r>
    </w:p>
    <w:p>
      <w:pPr>
        <w:spacing w:before="160" w:after="240" w:line="480" w:lineRule="auto"/>
      </w:pPr>
      <w:r>
        <w:rPr>
          <w:rFonts w:ascii="Times New Roman" w:cs="Times New Roman" w:eastAsia="Times New Roman" w:hAnsi="Times New Roman"/>
          <w:i/>
          <w:iCs/>
          <w:sz w:val="24"/>
          <w:szCs w:val="24"/>
        </w:rPr>
        <w:t xml:space="preserve">The discussion section moves from what the platform does to what it means: for AI policy in labor markets, for algorithmic accountability frameworks, for data governance in platform economies, and for the broader question of whether predictive tools can actually shift entrenched industry behavior or merely describe it more precisely. The four-source literature base provides both empirical grounding and theoretical reach for each implication.</w:t>
      </w:r>
    </w:p>
    <w:p>
      <w:pPr>
        <w:pStyle w:val="Heading2"/>
      </w:pPr>
      <w:r>
        <w:rPr>
          <w:rFonts w:ascii="Times New Roman" w:cs="Times New Roman" w:eastAsia="Times New Roman" w:hAnsi="Times New Roman"/>
          <w:b/>
          <w:bCs/>
          <w:sz w:val="24"/>
          <w:szCs w:val="24"/>
        </w:rPr>
        <w:t xml:space="preserve">V. Conclusion</w:t>
      </w:r>
    </w:p>
    <w:p>
      <w:pPr>
        <w:pStyle w:val="ListParagraph"/>
        <w:numPr>
          <w:ilvl w:val="0"/>
          <w:numId w:val="2"/>
        </w:numPr>
      </w:pPr>
      <w:r>
        <w:rPr>
          <w:rFonts w:ascii="Times New Roman" w:cs="Times New Roman" w:eastAsia="Times New Roman" w:hAnsi="Times New Roman"/>
          <w:sz w:val="24"/>
          <w:szCs w:val="24"/>
        </w:rPr>
        <w:t xml:space="preserve">Restate the core argument: the trucking industry's retention crisis is solvable with available ML tools — but only if those tools are designed around outcomes rather than preferences, and oriented toward both sides of the labor relationship</w:t>
      </w:r>
    </w:p>
    <w:p>
      <w:pPr>
        <w:pStyle w:val="ListParagraph"/>
        <w:numPr>
          <w:ilvl w:val="0"/>
          <w:numId w:val="2"/>
        </w:numPr>
      </w:pPr>
      <w:r>
        <w:rPr>
          <w:rFonts w:ascii="Times New Roman" w:cs="Times New Roman" w:eastAsia="Times New Roman" w:hAnsi="Times New Roman"/>
          <w:sz w:val="24"/>
          <w:szCs w:val="24"/>
        </w:rPr>
        <w:t xml:space="preserve">Affirm the convergent literature base: NASEM (2024) establishes that working conditions drive turnover; Raza et al. (2022) demonstrates that outcome-based ML models predict attrition with precision; Chen et al. (2023) and Shankar et al. (2025) document why preference-based training produces biased outputs and what corrective design looks like</w:t>
      </w:r>
    </w:p>
    <w:p>
      <w:pPr>
        <w:pStyle w:val="ListParagraph"/>
        <w:numPr>
          <w:ilvl w:val="0"/>
          <w:numId w:val="2"/>
        </w:numPr>
      </w:pPr>
      <w:r>
        <w:rPr>
          <w:rFonts w:ascii="Times New Roman" w:cs="Times New Roman" w:eastAsia="Times New Roman" w:hAnsi="Times New Roman"/>
          <w:sz w:val="24"/>
          <w:szCs w:val="24"/>
        </w:rPr>
        <w:t xml:space="preserve">Situate VelocityMatch within the course's broader examination of AI in political and social systems: labor markets are not neutral — they encode power, history, and bias — and AI systems that ignore this reproduce it</w:t>
      </w:r>
    </w:p>
    <w:p>
      <w:pPr>
        <w:pStyle w:val="ListParagraph"/>
        <w:numPr>
          <w:ilvl w:val="0"/>
          <w:numId w:val="2"/>
        </w:numPr>
      </w:pPr>
      <w:r>
        <w:rPr>
          <w:rFonts w:ascii="Times New Roman" w:cs="Times New Roman" w:eastAsia="Times New Roman" w:hAnsi="Times New Roman"/>
          <w:sz w:val="24"/>
          <w:szCs w:val="24"/>
        </w:rPr>
        <w:t xml:space="preserve">Close with the transferable lesson: the design decisions made in VelocityMatch — outcome-based training, dual orientation, progressive data capture — offer a replicable model for deploying ML in any high-stakes labor context where current systems have failed</w:t>
      </w:r>
    </w:p>
    <w:p>
      <w:pPr>
        <w:spacing w:before="160" w:after="240" w:line="480" w:lineRule="auto"/>
      </w:pPr>
      <w:r>
        <w:rPr>
          <w:rFonts w:ascii="Times New Roman" w:cs="Times New Roman" w:eastAsia="Times New Roman" w:hAnsi="Times New Roman"/>
          <w:i/>
          <w:iCs/>
          <w:sz w:val="24"/>
          <w:szCs w:val="24"/>
        </w:rPr>
        <w:t xml:space="preserve">The conclusion synthesizes the presentation's argument into a transferable principle: that the design logic of VelocityMatch — not the platform itself — is the contribution. It closes by connecting the multi-source literature base to the course's central inquiry into how AI systems can be built to serve equity and accountability rather than entrench existing patterns of exclusion.</w:t>
      </w:r>
    </w:p>
    <w:p>
      <w:pPr>
        <w:pStyle w:val="Heading1"/>
      </w:pPr>
      <w:r>
        <w:rPr>
          <w:rFonts w:ascii="Times New Roman" w:cs="Times New Roman" w:eastAsia="Times New Roman" w:hAnsi="Times New Roman"/>
          <w:b/>
          <w:bCs/>
          <w:sz w:val="24"/>
          <w:szCs w:val="24"/>
        </w:rPr>
        <w:t xml:space="preserve">Feedback Request</w:t>
      </w:r>
    </w:p>
    <w:p>
      <w:pPr>
        <w:spacing w:after="120" w:line="480" w:lineRule="auto"/>
      </w:pPr>
      <w:r>
        <w:rPr>
          <w:rFonts w:ascii="Times New Roman" w:cs="Times New Roman" w:eastAsia="Times New Roman" w:hAnsi="Times New Roman"/>
          <w:sz w:val="24"/>
          <w:szCs w:val="24"/>
        </w:rPr>
        <w:t xml:space="preserve">I would welcome peer feedback on two specific dimensions of this outline:</w:t>
      </w:r>
    </w:p>
    <w:p>
      <w:pPr>
        <w:pStyle w:val="ListParagraph"/>
        <w:numPr>
          <w:ilvl w:val="0"/>
          <w:numId w:val="2"/>
        </w:numPr>
        <w:spacing w:after="120"/>
      </w:pPr>
      <w:r>
        <w:rPr>
          <w:rFonts w:ascii="Times New Roman" w:cs="Times New Roman" w:eastAsia="Times New Roman" w:hAnsi="Times New Roman"/>
          <w:sz w:val="24"/>
          <w:szCs w:val="24"/>
        </w:rPr>
        <w:t xml:space="preserve">Source integration coherence: The outline now draws on four sources — NASEM (2024), Chen et al. (2023), Raza et al. (2022), and Shankar et al. (2025). Does the integration feel organic and purposeful throughout each section, or do any citations feel forced or insufficiently connected to the surrounding argument?</w:t>
      </w:r>
    </w:p>
    <w:p>
      <w:pPr>
        <w:pStyle w:val="ListParagraph"/>
        <w:numPr>
          <w:ilvl w:val="0"/>
          <w:numId w:val="2"/>
        </w:numPr>
        <w:spacing w:after="120"/>
      </w:pPr>
      <w:r>
        <w:rPr>
          <w:rFonts w:ascii="Times New Roman" w:cs="Times New Roman" w:eastAsia="Times New Roman" w:hAnsi="Times New Roman"/>
          <w:sz w:val="24"/>
          <w:szCs w:val="24"/>
        </w:rPr>
        <w:t xml:space="preserve">Discussion scope: The discussion raises five distinct implications (policy, accountability, data governance, transferability, limits of prediction). Is this range an asset — demonstrating breadth — or does it dilute the analytical focus of the presentation?</w:t>
      </w:r>
    </w:p>
    <w:p>
      <w:pPr>
        <w:pStyle w:val="Heading1"/>
      </w:pPr>
      <w:r>
        <w:rPr>
          <w:rFonts w:ascii="Times New Roman" w:cs="Times New Roman" w:eastAsia="Times New Roman" w:hAnsi="Times New Roman"/>
          <w:b/>
          <w:bCs/>
          <w:sz w:val="24"/>
          <w:szCs w:val="24"/>
        </w:rPr>
        <w:t xml:space="preserve">References</w:t>
      </w:r>
    </w:p>
    <w:p>
      <w:pPr>
        <w:spacing w:after="160" w:line="480" w:lineRule="auto"/>
        <w:ind w:left="720" w:hanging="720"/>
      </w:pPr>
      <w:r>
        <w:rPr>
          <w:rFonts w:ascii="Times New Roman" w:cs="Times New Roman" w:eastAsia="Times New Roman" w:hAnsi="Times New Roman"/>
          <w:sz w:val="24"/>
          <w:szCs w:val="24"/>
        </w:rPr>
        <w:t xml:space="preserve">Chen, Z., Zhang, J., &amp; Arora, P. (2023). Investigating the impact of AI-powered tools on hiring bias: An empirical study. Journal of Business Research, 154, 113290. https://doi.org/10.1016/j.jbusres.2022.113290</w:t>
      </w:r>
    </w:p>
    <w:p>
      <w:pPr>
        <w:spacing w:after="160" w:line="480" w:lineRule="auto"/>
        <w:ind w:left="720" w:hanging="720"/>
      </w:pPr>
      <w:r>
        <w:rPr>
          <w:rFonts w:ascii="Times New Roman" w:cs="Times New Roman" w:eastAsia="Times New Roman" w:hAnsi="Times New Roman"/>
          <w:sz w:val="24"/>
          <w:szCs w:val="24"/>
        </w:rPr>
        <w:t xml:space="preserve">National Academies of Sciences, Engineering, and Medicine. (2024). Pay and working conditions in the long-distance truck and bus industries: Assessing for effects on driver safety and retention. The National Academies Press. https://doi.org/10.17226/27892</w:t>
      </w:r>
    </w:p>
    <w:p>
      <w:pPr>
        <w:spacing w:after="160" w:line="480" w:lineRule="auto"/>
        <w:ind w:left="720" w:hanging="720"/>
      </w:pPr>
      <w:r>
        <w:rPr>
          <w:rFonts w:ascii="Times New Roman" w:cs="Times New Roman" w:eastAsia="Times New Roman" w:hAnsi="Times New Roman"/>
          <w:sz w:val="24"/>
          <w:szCs w:val="24"/>
        </w:rPr>
        <w:t xml:space="preserve">Raza, A., Munir, K., Almutairi, M., Younas, F., &amp; Fareed, M. M. S. (2022). Predicting employee attrition and performance using machine learning. Information, 13(12), 556. https://doi.org/10.3390/info13120556</w:t>
      </w:r>
    </w:p>
    <w:p>
      <w:pPr>
        <w:spacing w:after="160" w:line="480" w:lineRule="auto"/>
        <w:ind w:left="720" w:hanging="720"/>
      </w:pPr>
      <w:r>
        <w:rPr>
          <w:rFonts w:ascii="Times New Roman" w:cs="Times New Roman" w:eastAsia="Times New Roman" w:hAnsi="Times New Roman"/>
          <w:sz w:val="24"/>
          <w:szCs w:val="24"/>
        </w:rPr>
        <w:t xml:space="preserve">Shankar, A., Dumouchel, W., &amp; Ghassemi, M. (2025). Biases in AI hiring tools: Uncovering hidden challenges in modern recruitment algorithms. Journal of Artificial Intelligence Research, 82, 145–187.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2026-02-23T00:44:05.841Z</dcterms:created>
  <dcterms:modified xsi:type="dcterms:W3CDTF">2026-02-23T00:44:05.842Z</dcterms:modified>
</cp:coreProperties>
</file>

<file path=docProps/custom.xml><?xml version="1.0" encoding="utf-8"?>
<Properties xmlns="http://schemas.openxmlformats.org/officeDocument/2006/custom-properties" xmlns:vt="http://schemas.openxmlformats.org/officeDocument/2006/docPropsVTypes"/>
</file>