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D7E" w:rsidRDefault="00536D6E" w:rsidP="00FE790D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0E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Петергоф до войны: Императорс</w:t>
      </w:r>
      <w:r w:rsidR="00FE79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кая жемчужина у Финского залива</w:t>
      </w:r>
      <w:r w:rsidR="004D4D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340E80" w:rsidRDefault="00536D6E" w:rsidP="00FE790D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0E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(1705–1941 гг.)</w:t>
      </w:r>
    </w:p>
    <w:p w:rsidR="00340E80" w:rsidRPr="009A3CBE" w:rsidRDefault="00340E80" w:rsidP="00340E80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A3CBE">
        <w:rPr>
          <w:rFonts w:ascii="Times New Roman" w:hAnsi="Times New Roman" w:cs="Times New Roman"/>
          <w:sz w:val="24"/>
          <w:szCs w:val="24"/>
        </w:rPr>
        <w:t>Основанный Петром Великим в 1714 году как триумфальный памятник победам России в Северной войне, Петергоф к началу XX века превратился в один из величайших дворцово-парковых ансамблей мира, где барочно</w:t>
      </w:r>
      <w:r w:rsidR="00523DF7">
        <w:rPr>
          <w:rFonts w:ascii="Times New Roman" w:hAnsi="Times New Roman" w:cs="Times New Roman"/>
          <w:sz w:val="24"/>
          <w:szCs w:val="24"/>
        </w:rPr>
        <w:t>е великолепие, инженерный гений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>и художественное совершенство слились в гармонич</w:t>
      </w:r>
      <w:r w:rsidR="00523DF7">
        <w:rPr>
          <w:rFonts w:ascii="Times New Roman" w:hAnsi="Times New Roman" w:cs="Times New Roman"/>
          <w:sz w:val="24"/>
          <w:szCs w:val="24"/>
        </w:rPr>
        <w:t>ное целое. Его история началась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 xml:space="preserve">с простого «путевого двора» для остановок царя по пути в Кронштадт (первое упоминание в </w:t>
      </w:r>
      <w:r w:rsidRPr="009A3CBE">
        <w:rPr>
          <w:rFonts w:ascii="Times New Roman" w:hAnsi="Times New Roman" w:cs="Times New Roman"/>
          <w:bCs/>
          <w:sz w:val="24"/>
          <w:szCs w:val="24"/>
        </w:rPr>
        <w:t>1705 году</w:t>
      </w:r>
      <w:r w:rsidRPr="009A3CBE">
        <w:rPr>
          <w:rFonts w:ascii="Times New Roman" w:hAnsi="Times New Roman" w:cs="Times New Roman"/>
          <w:sz w:val="24"/>
          <w:szCs w:val="24"/>
        </w:rPr>
        <w:t xml:space="preserve">), но уже к 1714 году, вдохновленный Версалем, Петр I заложил здесь парадную резиденцию, лично создавая эскизы фонтанов и планировки парков. Композиционным центром стал </w:t>
      </w:r>
      <w:r w:rsidRPr="009A3CBE">
        <w:rPr>
          <w:rFonts w:ascii="Times New Roman" w:hAnsi="Times New Roman" w:cs="Times New Roman"/>
          <w:bCs/>
          <w:sz w:val="24"/>
          <w:szCs w:val="24"/>
        </w:rPr>
        <w:t>Большой дворец</w:t>
      </w:r>
      <w:r w:rsidRPr="009A3CBE">
        <w:rPr>
          <w:rFonts w:ascii="Times New Roman" w:hAnsi="Times New Roman" w:cs="Times New Roman"/>
          <w:sz w:val="24"/>
          <w:szCs w:val="24"/>
        </w:rPr>
        <w:t xml:space="preserve"> (изначально «Верхние палаты»), возведенный по проекту французского архитектора Жана-Батиста </w:t>
      </w:r>
      <w:proofErr w:type="spellStart"/>
      <w:r w:rsidRPr="009A3CBE">
        <w:rPr>
          <w:rFonts w:ascii="Times New Roman" w:hAnsi="Times New Roman" w:cs="Times New Roman"/>
          <w:sz w:val="24"/>
          <w:szCs w:val="24"/>
        </w:rPr>
        <w:t>Леблона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, а жемчужиной петровской эпохи – приморский </w:t>
      </w:r>
      <w:proofErr w:type="spellStart"/>
      <w:r w:rsidRPr="009A3CBE">
        <w:rPr>
          <w:rFonts w:ascii="Times New Roman" w:hAnsi="Times New Roman" w:cs="Times New Roman"/>
          <w:bCs/>
          <w:sz w:val="24"/>
          <w:szCs w:val="24"/>
        </w:rPr>
        <w:t>Монплезир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 («мое удовольствие»), где царь разместил первую в России картинную галерею с полотнами фламандских мастеров. У зеркальных прудов возник изящный дворец </w:t>
      </w:r>
      <w:r w:rsidRPr="009A3CBE">
        <w:rPr>
          <w:rFonts w:ascii="Times New Roman" w:hAnsi="Times New Roman" w:cs="Times New Roman"/>
          <w:bCs/>
          <w:sz w:val="24"/>
          <w:szCs w:val="24"/>
        </w:rPr>
        <w:t>Марли</w:t>
      </w:r>
      <w:r w:rsidRPr="009A3CBE">
        <w:rPr>
          <w:rFonts w:ascii="Times New Roman" w:hAnsi="Times New Roman" w:cs="Times New Roman"/>
          <w:sz w:val="24"/>
          <w:szCs w:val="24"/>
        </w:rPr>
        <w:t xml:space="preserve">, названный в память о резиденции Людовика XIV. Подлинным чудом стала </w:t>
      </w:r>
      <w:r w:rsidRPr="009A3CBE">
        <w:rPr>
          <w:rFonts w:ascii="Times New Roman" w:hAnsi="Times New Roman" w:cs="Times New Roman"/>
          <w:bCs/>
          <w:sz w:val="24"/>
          <w:szCs w:val="24"/>
        </w:rPr>
        <w:t>фонтанная система</w:t>
      </w:r>
      <w:r w:rsidRPr="009A3CBE">
        <w:rPr>
          <w:rFonts w:ascii="Times New Roman" w:hAnsi="Times New Roman" w:cs="Times New Roman"/>
          <w:sz w:val="24"/>
          <w:szCs w:val="24"/>
        </w:rPr>
        <w:t xml:space="preserve"> инженера Василия </w:t>
      </w:r>
      <w:proofErr w:type="spellStart"/>
      <w:r w:rsidRPr="009A3CBE">
        <w:rPr>
          <w:rFonts w:ascii="Times New Roman" w:hAnsi="Times New Roman" w:cs="Times New Roman"/>
          <w:sz w:val="24"/>
          <w:szCs w:val="24"/>
        </w:rPr>
        <w:t>Туволкова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>: 25 к</w:t>
      </w:r>
      <w:r w:rsidR="00266414">
        <w:rPr>
          <w:rFonts w:ascii="Times New Roman" w:hAnsi="Times New Roman" w:cs="Times New Roman"/>
          <w:sz w:val="24"/>
          <w:szCs w:val="24"/>
        </w:rPr>
        <w:t>илометров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самотечного водовода от </w:t>
      </w:r>
      <w:proofErr w:type="spellStart"/>
      <w:r w:rsidRPr="009A3CBE">
        <w:rPr>
          <w:rFonts w:ascii="Times New Roman" w:hAnsi="Times New Roman" w:cs="Times New Roman"/>
          <w:sz w:val="24"/>
          <w:szCs w:val="24"/>
        </w:rPr>
        <w:t>Ропшинских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 высот, питавшего </w:t>
      </w:r>
      <w:r w:rsidRPr="009A3CBE">
        <w:rPr>
          <w:rFonts w:ascii="Times New Roman" w:hAnsi="Times New Roman" w:cs="Times New Roman"/>
          <w:bCs/>
          <w:sz w:val="24"/>
          <w:szCs w:val="24"/>
        </w:rPr>
        <w:t>150+ фонтанов</w:t>
      </w:r>
      <w:r w:rsidRPr="009A3CBE">
        <w:rPr>
          <w:rFonts w:ascii="Times New Roman" w:hAnsi="Times New Roman" w:cs="Times New Roman"/>
          <w:sz w:val="24"/>
          <w:szCs w:val="24"/>
        </w:rPr>
        <w:t xml:space="preserve"> без единого насоса – технологический триумф, не имевший аналогов в Европе.</w:t>
      </w:r>
    </w:p>
    <w:p w:rsidR="00340E80" w:rsidRDefault="00340E80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CBE">
        <w:rPr>
          <w:rFonts w:ascii="Times New Roman" w:hAnsi="Times New Roman" w:cs="Times New Roman"/>
          <w:sz w:val="24"/>
          <w:szCs w:val="24"/>
        </w:rPr>
        <w:t xml:space="preserve">При Елизавете Петровне гений Растрелли преобразил ансамбль: Большой дворец обрел черты </w:t>
      </w:r>
      <w:r w:rsidRPr="009A3CBE">
        <w:rPr>
          <w:rFonts w:ascii="Times New Roman" w:hAnsi="Times New Roman" w:cs="Times New Roman"/>
          <w:bCs/>
          <w:sz w:val="24"/>
          <w:szCs w:val="24"/>
        </w:rPr>
        <w:t>пышного русского барокко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 золочеными </w:t>
      </w:r>
      <w:r w:rsidR="00523DF7">
        <w:rPr>
          <w:rFonts w:ascii="Times New Roman" w:hAnsi="Times New Roman" w:cs="Times New Roman"/>
          <w:sz w:val="24"/>
          <w:szCs w:val="24"/>
        </w:rPr>
        <w:t>фасадами, зеркальными галереями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 xml:space="preserve">и Портретным залом, где мерцали 368 полотен европейских мастеров. Символом имперской мощи стал </w:t>
      </w:r>
      <w:r w:rsidRPr="009A3CBE">
        <w:rPr>
          <w:rFonts w:ascii="Times New Roman" w:hAnsi="Times New Roman" w:cs="Times New Roman"/>
          <w:bCs/>
          <w:sz w:val="24"/>
          <w:szCs w:val="24"/>
        </w:rPr>
        <w:t>фонтан «Самсон»</w:t>
      </w:r>
      <w:r w:rsidRPr="009A3CBE">
        <w:rPr>
          <w:rFonts w:ascii="Times New Roman" w:hAnsi="Times New Roman" w:cs="Times New Roman"/>
          <w:sz w:val="24"/>
          <w:szCs w:val="24"/>
        </w:rPr>
        <w:t xml:space="preserve"> (1735 г</w:t>
      </w:r>
      <w:r w:rsidR="00266414">
        <w:rPr>
          <w:rFonts w:ascii="Times New Roman" w:hAnsi="Times New Roman" w:cs="Times New Roman"/>
          <w:sz w:val="24"/>
          <w:szCs w:val="24"/>
        </w:rPr>
        <w:t>од</w:t>
      </w:r>
      <w:r w:rsidRPr="009A3CBE">
        <w:rPr>
          <w:rFonts w:ascii="Times New Roman" w:hAnsi="Times New Roman" w:cs="Times New Roman"/>
          <w:sz w:val="24"/>
          <w:szCs w:val="24"/>
        </w:rPr>
        <w:t xml:space="preserve">) – 20-метровая струя бронзового гиганта, разрывающего пасть льву (аллегория победы под Полтавой), венчавшая грандиозный </w:t>
      </w:r>
      <w:r w:rsidRPr="009A3CBE">
        <w:rPr>
          <w:rFonts w:ascii="Times New Roman" w:hAnsi="Times New Roman" w:cs="Times New Roman"/>
          <w:bCs/>
          <w:sz w:val="24"/>
          <w:szCs w:val="24"/>
        </w:rPr>
        <w:t>Большой каскад</w:t>
      </w:r>
      <w:r w:rsidRPr="009A3CBE">
        <w:rPr>
          <w:rFonts w:ascii="Times New Roman" w:hAnsi="Times New Roman" w:cs="Times New Roman"/>
          <w:sz w:val="24"/>
          <w:szCs w:val="24"/>
        </w:rPr>
        <w:t xml:space="preserve">. Рядом сверкал мраморный каскад </w:t>
      </w:r>
      <w:r w:rsidRPr="009A3CBE">
        <w:rPr>
          <w:rFonts w:ascii="Times New Roman" w:hAnsi="Times New Roman" w:cs="Times New Roman"/>
          <w:bCs/>
          <w:sz w:val="24"/>
          <w:szCs w:val="24"/>
        </w:rPr>
        <w:t>«Шахматная гора»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 античными статуями, привезенными Петром I из Италии. Парковое искусство достигло совершенства: </w:t>
      </w:r>
      <w:r w:rsidRPr="009A3CBE">
        <w:rPr>
          <w:rFonts w:ascii="Times New Roman" w:hAnsi="Times New Roman" w:cs="Times New Roman"/>
          <w:bCs/>
          <w:sz w:val="24"/>
          <w:szCs w:val="24"/>
        </w:rPr>
        <w:t>Нижний парк</w:t>
      </w:r>
      <w:r w:rsidRPr="009A3CBE">
        <w:rPr>
          <w:rFonts w:ascii="Times New Roman" w:hAnsi="Times New Roman" w:cs="Times New Roman"/>
          <w:sz w:val="24"/>
          <w:szCs w:val="24"/>
        </w:rPr>
        <w:t xml:space="preserve"> (102 га), расчерченный Морским каналом на симметричные боскеты, украшали фонтаны-шедевры – «Адам», «Ева», «Пирамида», а изначально утилитарный </w:t>
      </w:r>
      <w:r w:rsidRPr="009A3CBE">
        <w:rPr>
          <w:rFonts w:ascii="Times New Roman" w:hAnsi="Times New Roman" w:cs="Times New Roman"/>
          <w:bCs/>
          <w:sz w:val="24"/>
          <w:szCs w:val="24"/>
        </w:rPr>
        <w:t>Верхний сад</w:t>
      </w:r>
      <w:r w:rsidRPr="009A3CBE">
        <w:rPr>
          <w:rFonts w:ascii="Times New Roman" w:hAnsi="Times New Roman" w:cs="Times New Roman"/>
          <w:sz w:val="24"/>
          <w:szCs w:val="24"/>
        </w:rPr>
        <w:t xml:space="preserve"> превратился в торжественный проло</w:t>
      </w:r>
      <w:r w:rsidR="00523DF7">
        <w:rPr>
          <w:rFonts w:ascii="Times New Roman" w:hAnsi="Times New Roman" w:cs="Times New Roman"/>
          <w:sz w:val="24"/>
          <w:szCs w:val="24"/>
        </w:rPr>
        <w:t>г ансамбля с фонтанами «Нептун»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 xml:space="preserve">и «Дубовый». К XIX веку Николай I добавил романтическую ноту, создав для супруги Александры Федоровны пейзажный парк </w:t>
      </w:r>
      <w:r w:rsidRPr="009A3CBE">
        <w:rPr>
          <w:rFonts w:ascii="Times New Roman" w:hAnsi="Times New Roman" w:cs="Times New Roman"/>
          <w:bCs/>
          <w:sz w:val="24"/>
          <w:szCs w:val="24"/>
        </w:rPr>
        <w:t>Александрия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 </w:t>
      </w:r>
      <w:r w:rsidRPr="009A3CBE">
        <w:rPr>
          <w:rFonts w:ascii="Times New Roman" w:hAnsi="Times New Roman" w:cs="Times New Roman"/>
          <w:bCs/>
          <w:sz w:val="24"/>
          <w:szCs w:val="24"/>
        </w:rPr>
        <w:t>готической капеллой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="00266414">
        <w:rPr>
          <w:rFonts w:ascii="Times New Roman" w:hAnsi="Times New Roman" w:cs="Times New Roman"/>
          <w:sz w:val="24"/>
          <w:szCs w:val="24"/>
        </w:rPr>
        <w:t>(архитектор</w:t>
      </w:r>
      <w:r w:rsidR="000E142B">
        <w:rPr>
          <w:rFonts w:ascii="Times New Roman" w:hAnsi="Times New Roman" w:cs="Times New Roman"/>
          <w:sz w:val="24"/>
          <w:szCs w:val="24"/>
        </w:rPr>
        <w:t xml:space="preserve"> К.Ф. </w:t>
      </w:r>
      <w:proofErr w:type="spellStart"/>
      <w:r w:rsidR="000E142B">
        <w:rPr>
          <w:rFonts w:ascii="Times New Roman" w:hAnsi="Times New Roman" w:cs="Times New Roman"/>
          <w:sz w:val="24"/>
          <w:szCs w:val="24"/>
        </w:rPr>
        <w:t>Шинкель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) и дворцом «Коттедж» в духе английских коттеджей. Технический прогресс не обошел резиденцию: в 1857 году проложили </w:t>
      </w:r>
      <w:r w:rsidRPr="009A3CBE">
        <w:rPr>
          <w:rFonts w:ascii="Times New Roman" w:hAnsi="Times New Roman" w:cs="Times New Roman"/>
          <w:bCs/>
          <w:sz w:val="24"/>
          <w:szCs w:val="24"/>
        </w:rPr>
        <w:t>Петергофскую железную дорогу</w:t>
      </w:r>
      <w:r w:rsidRPr="009A3CBE">
        <w:rPr>
          <w:rFonts w:ascii="Times New Roman" w:hAnsi="Times New Roman" w:cs="Times New Roman"/>
          <w:sz w:val="24"/>
          <w:szCs w:val="24"/>
        </w:rPr>
        <w:t>, а к 1913</w:t>
      </w:r>
      <w:r w:rsidR="00266414">
        <w:rPr>
          <w:rFonts w:ascii="Times New Roman" w:hAnsi="Times New Roman" w:cs="Times New Roman"/>
          <w:sz w:val="24"/>
          <w:szCs w:val="24"/>
        </w:rPr>
        <w:t xml:space="preserve"> году появились теннисные корты </w:t>
      </w:r>
      <w:r w:rsidRPr="009A3CBE">
        <w:rPr>
          <w:rFonts w:ascii="Times New Roman" w:hAnsi="Times New Roman" w:cs="Times New Roman"/>
          <w:sz w:val="24"/>
          <w:szCs w:val="24"/>
        </w:rPr>
        <w:t>и электростанция.</w:t>
      </w:r>
    </w:p>
    <w:p w:rsidR="0051400B" w:rsidRPr="0051400B" w:rsidRDefault="0051400B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t xml:space="preserve">К началу XX века Петергоф являлся не только парадной императорской резиденцией, но и сложным инженерно-художественным комплексом, </w:t>
      </w:r>
      <w:r w:rsidRPr="0051400B">
        <w:rPr>
          <w:rFonts w:ascii="Times New Roman" w:hAnsi="Times New Roman" w:cs="Times New Roman"/>
          <w:sz w:val="24"/>
          <w:szCs w:val="24"/>
        </w:rPr>
        <w:lastRenderedPageBreak/>
        <w:t>функционировавшим как образцовый дворцово-парковый ансамбль. Юбилей 1913 года — 200-летие Петергофа — стал кульминацией его дореволюционного развития: были проведены масштабные ремонтно-реставрационные работы, обновлены интерьеры Большого дворца, отреставрированы фонтаны, приведены в порядок Нижний парк и Верхний сад. Петергоф воспринимался как символ устойчивости имперской традиции и технологического совершенства, где историческая архитектура сочеталась с современными инженерными решениями — электрическим освещением, обновлёнными водопроводными системами, улучшенной транспортной доступностью.</w:t>
      </w:r>
    </w:p>
    <w:p w:rsidR="0051400B" w:rsidRPr="0051400B" w:rsidRDefault="0051400B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t>После 1917 года ансамбль пережил принципиально новый этап. Уже в 1918 году Петергоф был национализирован и превращён в государственный музей. В 1920–1930-е годы он стал одним из ключевых музеев страны, ориентированных на массового посетителя. Проводилась научная инвентаризация коллекций, систематизация архивов, реставрация интерьеров с сохранением подлинных элементов отделки. Именно в этот период закладываются основы научной реставрации как системы: фиксируются обмеры, создаются фотоархивы, ведётся исследование фонтанной системы, парковых ландшафтов, скульптуры.</w:t>
      </w:r>
    </w:p>
    <w:p w:rsidR="0051400B" w:rsidRPr="009A3CBE" w:rsidRDefault="0051400B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t xml:space="preserve">В 1930-е годы Петергоф функционировал как активно посещаемый музей, при этом сохранялась высокая степень подлинности ансамбля. К 1941 году комплекс включал Большой дворец, </w:t>
      </w:r>
      <w:proofErr w:type="spellStart"/>
      <w:r w:rsidRPr="0051400B">
        <w:rPr>
          <w:rFonts w:ascii="Times New Roman" w:hAnsi="Times New Roman" w:cs="Times New Roman"/>
          <w:sz w:val="24"/>
          <w:szCs w:val="24"/>
        </w:rPr>
        <w:t>Монплезир</w:t>
      </w:r>
      <w:proofErr w:type="spellEnd"/>
      <w:r w:rsidRPr="0051400B">
        <w:rPr>
          <w:rFonts w:ascii="Times New Roman" w:hAnsi="Times New Roman" w:cs="Times New Roman"/>
          <w:sz w:val="24"/>
          <w:szCs w:val="24"/>
        </w:rPr>
        <w:t>, Марли, Эрмитаж, более 150 фонтанов и обширную скульптурную программу. Именно этот довоенный облик, тщательно зафиксированный музейными и проектными службами, стал главным источником для послевоенного восстановления</w:t>
      </w:r>
    </w:p>
    <w:p w:rsidR="00340E80" w:rsidRPr="00B42DC1" w:rsidRDefault="0051400B" w:rsidP="00523DF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1941 году музейные фонды накопили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8 000+ экспонатов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: картины Рембрандта и </w:t>
      </w:r>
      <w:proofErr w:type="spellStart"/>
      <w:r w:rsidR="00340E80" w:rsidRPr="009A3CBE">
        <w:rPr>
          <w:rFonts w:ascii="Times New Roman" w:hAnsi="Times New Roman" w:cs="Times New Roman"/>
          <w:sz w:val="24"/>
          <w:szCs w:val="24"/>
        </w:rPr>
        <w:t>ван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 Дейка из </w:t>
      </w:r>
      <w:proofErr w:type="spellStart"/>
      <w:r w:rsidR="00340E80" w:rsidRPr="009A3CBE">
        <w:rPr>
          <w:rFonts w:ascii="Times New Roman" w:hAnsi="Times New Roman" w:cs="Times New Roman"/>
          <w:sz w:val="24"/>
          <w:szCs w:val="24"/>
        </w:rPr>
        <w:t>Монплезира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, золоченую мебель Растрелли, коллекцию фарфора. В парках стояли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50 мраморных скульптур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, включая шедевры «Адам» и «Ева», которые сотрудники музея, рискуя жизнью, тайно закопали в землю Нижнего парка перед оккупацией. К лету 1941 года ансамбль объединял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6 парков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(1 000 га) с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156 фонтанами</w:t>
      </w:r>
      <w:r w:rsidR="00340E80" w:rsidRPr="009A3CBE">
        <w:rPr>
          <w:rFonts w:ascii="Times New Roman" w:hAnsi="Times New Roman" w:cs="Times New Roman"/>
          <w:sz w:val="24"/>
          <w:szCs w:val="24"/>
        </w:rPr>
        <w:t>, среди которых остроумные «шутихи» – «Зонтик», обливавший го</w:t>
      </w:r>
      <w:r w:rsidR="00523DF7">
        <w:rPr>
          <w:rFonts w:ascii="Times New Roman" w:hAnsi="Times New Roman" w:cs="Times New Roman"/>
          <w:sz w:val="24"/>
          <w:szCs w:val="24"/>
        </w:rPr>
        <w:t>стей водяной завесой, и «Дубок»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с танцующими фарфоровыми птицами. Семь музеев, включая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Эрмитаж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с механическим подъемным столом для «обедов без слуг», принимали тысячи посетителей. Архитектурная гармония охватывала эп</w:t>
      </w:r>
      <w:r w:rsidR="00266414">
        <w:rPr>
          <w:rFonts w:ascii="Times New Roman" w:hAnsi="Times New Roman" w:cs="Times New Roman"/>
          <w:sz w:val="24"/>
          <w:szCs w:val="24"/>
        </w:rPr>
        <w:t xml:space="preserve">охи: от барокко Большого дворца 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до неоготики церкви Александра Невского в Александрии, а доминантой оставалась </w:t>
      </w:r>
      <w:r w:rsidR="00266414">
        <w:rPr>
          <w:rFonts w:ascii="Times New Roman" w:hAnsi="Times New Roman" w:cs="Times New Roman"/>
          <w:bCs/>
          <w:sz w:val="24"/>
          <w:szCs w:val="24"/>
        </w:rPr>
        <w:t xml:space="preserve">связь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с морем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– фасады </w:t>
      </w:r>
      <w:proofErr w:type="spellStart"/>
      <w:r w:rsidR="00340E80" w:rsidRPr="009A3CBE">
        <w:rPr>
          <w:rFonts w:ascii="Times New Roman" w:hAnsi="Times New Roman" w:cs="Times New Roman"/>
          <w:sz w:val="24"/>
          <w:szCs w:val="24"/>
        </w:rPr>
        <w:t>Монплезира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 и перспектива</w:t>
      </w:r>
      <w:r w:rsidR="00266414">
        <w:rPr>
          <w:rFonts w:ascii="Times New Roman" w:hAnsi="Times New Roman" w:cs="Times New Roman"/>
          <w:sz w:val="24"/>
          <w:szCs w:val="24"/>
        </w:rPr>
        <w:t xml:space="preserve"> Большого каскада были обращены </w:t>
      </w:r>
      <w:r w:rsidR="00340E80" w:rsidRPr="009A3CBE">
        <w:rPr>
          <w:rFonts w:ascii="Times New Roman" w:hAnsi="Times New Roman" w:cs="Times New Roman"/>
          <w:sz w:val="24"/>
          <w:szCs w:val="24"/>
        </w:rPr>
        <w:t>к Финскому заливу.</w:t>
      </w:r>
      <w:bookmarkStart w:id="0" w:name="_GoBack"/>
      <w:bookmarkEnd w:id="0"/>
    </w:p>
    <w:p w:rsidR="00A713A3" w:rsidRPr="009A3CBE" w:rsidRDefault="00340E80" w:rsidP="009A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CBE">
        <w:rPr>
          <w:rFonts w:ascii="Times New Roman" w:hAnsi="Times New Roman" w:cs="Times New Roman"/>
          <w:sz w:val="24"/>
          <w:szCs w:val="24"/>
        </w:rPr>
        <w:t xml:space="preserve">Этот блистательный мир, где искусство, природа и история сплелись в совершенном единстве, был методично уничтожен в сентябре 1941-го. Но довоенное </w:t>
      </w:r>
      <w:r w:rsidRPr="009A3CBE">
        <w:rPr>
          <w:rFonts w:ascii="Times New Roman" w:hAnsi="Times New Roman" w:cs="Times New Roman"/>
          <w:sz w:val="24"/>
          <w:szCs w:val="24"/>
        </w:rPr>
        <w:lastRenderedPageBreak/>
        <w:t xml:space="preserve">величие, запечатленное в </w:t>
      </w:r>
      <w:r w:rsidRPr="009A3CBE">
        <w:rPr>
          <w:rFonts w:ascii="Times New Roman" w:hAnsi="Times New Roman" w:cs="Times New Roman"/>
          <w:bCs/>
          <w:sz w:val="24"/>
          <w:szCs w:val="24"/>
        </w:rPr>
        <w:t>акварелях XIX века (альбомы ГМЗ «Петергоф»)</w:t>
      </w:r>
      <w:r w:rsidRPr="009A3CBE">
        <w:rPr>
          <w:rFonts w:ascii="Times New Roman" w:hAnsi="Times New Roman" w:cs="Times New Roman"/>
          <w:sz w:val="24"/>
          <w:szCs w:val="24"/>
        </w:rPr>
        <w:t xml:space="preserve">, </w:t>
      </w:r>
      <w:r w:rsidRPr="009A3CBE">
        <w:rPr>
          <w:rFonts w:ascii="Times New Roman" w:hAnsi="Times New Roman" w:cs="Times New Roman"/>
          <w:bCs/>
          <w:sz w:val="24"/>
          <w:szCs w:val="24"/>
        </w:rPr>
        <w:t>фотографиях К.К. Буллы (1910-е гг.)</w:t>
      </w:r>
      <w:r w:rsidRPr="009A3CBE">
        <w:rPr>
          <w:rFonts w:ascii="Times New Roman" w:hAnsi="Times New Roman" w:cs="Times New Roman"/>
          <w:sz w:val="24"/>
          <w:szCs w:val="24"/>
        </w:rPr>
        <w:t xml:space="preserve"> и </w:t>
      </w:r>
      <w:r w:rsidRPr="009A3CBE">
        <w:rPr>
          <w:rFonts w:ascii="Times New Roman" w:hAnsi="Times New Roman" w:cs="Times New Roman"/>
          <w:bCs/>
          <w:sz w:val="24"/>
          <w:szCs w:val="24"/>
        </w:rPr>
        <w:t>инвентарных описях музеев</w:t>
      </w:r>
      <w:r w:rsidRPr="009A3CBE">
        <w:rPr>
          <w:rFonts w:ascii="Times New Roman" w:hAnsi="Times New Roman" w:cs="Times New Roman"/>
          <w:sz w:val="24"/>
          <w:szCs w:val="24"/>
        </w:rPr>
        <w:t>, стало путеводной звездой для реставраторов, возродивших жемчужину из пепла.</w:t>
      </w:r>
    </w:p>
    <w:sectPr w:rsidR="00A713A3" w:rsidRPr="009A3CBE" w:rsidSect="00494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4015B"/>
    <w:rsid w:val="000E142B"/>
    <w:rsid w:val="00266414"/>
    <w:rsid w:val="0034015B"/>
    <w:rsid w:val="00340E80"/>
    <w:rsid w:val="003E763E"/>
    <w:rsid w:val="00426251"/>
    <w:rsid w:val="00484489"/>
    <w:rsid w:val="004943EF"/>
    <w:rsid w:val="004D4D7E"/>
    <w:rsid w:val="0051400B"/>
    <w:rsid w:val="00523DF7"/>
    <w:rsid w:val="00536D6E"/>
    <w:rsid w:val="009A3CBE"/>
    <w:rsid w:val="00B17FF5"/>
    <w:rsid w:val="00B42DC1"/>
    <w:rsid w:val="00C60EDE"/>
    <w:rsid w:val="00FE79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3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Елена Заковряшина</cp:lastModifiedBy>
  <cp:revision>16</cp:revision>
  <dcterms:created xsi:type="dcterms:W3CDTF">2025-07-29T13:35:00Z</dcterms:created>
  <dcterms:modified xsi:type="dcterms:W3CDTF">2026-01-28T14:44:00Z</dcterms:modified>
</cp:coreProperties>
</file>