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rFonts w:cs="Arial" w:ascii="Arial" w:hAnsi="Arial"/>
          <w:sz w:val="24"/>
          <w:szCs w:val="24"/>
        </w:rPr>
        <w:t>COMP 3510 – Embedded Systems Development</w:t>
        <w:br/>
        <w:t>Rain Li, David Harris</w:t>
        <w:br/>
      </w:r>
    </w:p>
    <w:p>
      <w:pPr>
        <w:pStyle w:val="Standard"/>
        <w:jc w:val="center"/>
        <w:rPr/>
      </w:pPr>
      <w:r>
        <w:rPr>
          <w:rFonts w:cs="Arial" w:ascii="Arial" w:hAnsi="Arial"/>
          <w:b/>
          <w:sz w:val="24"/>
          <w:szCs w:val="24"/>
        </w:rPr>
        <w:t>Lab 1 Report</w:t>
      </w:r>
    </w:p>
    <w:p>
      <w:pPr>
        <w:pStyle w:val="Standard"/>
        <w:ind w:firstLine="720"/>
        <w:rPr/>
      </w:pPr>
      <w:r>
        <w:rPr>
          <w:rFonts w:cs="Arial" w:ascii="Arial" w:hAnsi="Arial"/>
          <w:sz w:val="24"/>
          <w:szCs w:val="24"/>
        </w:rPr>
        <w:t>Our implementation of the Lab 1 assignment successfully detects when a device has generated an event and processes events in the buffer to make way for new events.  Put simply, our code works.</w:t>
      </w:r>
    </w:p>
    <w:p>
      <w:pPr>
        <w:pStyle w:val="Standard"/>
        <w:ind w:firstLine="720"/>
        <w:rPr/>
      </w:pPr>
      <w:r>
        <w:rPr>
          <w:rFonts w:cs="Arial" w:ascii="Arial" w:hAnsi="Arial"/>
          <w:sz w:val="24"/>
          <w:szCs w:val="24"/>
        </w:rPr>
        <w:t>Below is the information we collected by testing our code with preset values:</w:t>
      </w:r>
    </w:p>
    <w:tbl>
      <w:tblPr>
        <w:tblW w:w="9175"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1289"/>
        <w:gridCol w:w="1002"/>
        <w:gridCol w:w="583"/>
        <w:gridCol w:w="1890"/>
        <w:gridCol w:w="2250"/>
        <w:gridCol w:w="2160"/>
      </w:tblGrid>
      <w:tr>
        <w:trPr>
          <w:trHeight w:val="570" w:hRule="atLeast"/>
        </w:trPr>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Standard"/>
              <w:spacing w:lineRule="auto" w:line="240" w:before="0" w:after="0"/>
              <w:rPr/>
            </w:pPr>
            <w:r>
              <w:rPr>
                <w:rFonts w:eastAsia="Times New Roman" w:cs="Arial" w:ascii="Arial" w:hAnsi="Arial"/>
                <w:color w:val="000000"/>
                <w:sz w:val="24"/>
                <w:szCs w:val="24"/>
              </w:rPr>
              <w:t>Number of Devices</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Standard"/>
              <w:spacing w:lineRule="auto" w:line="240" w:before="0" w:after="0"/>
              <w:rPr/>
            </w:pPr>
            <w:r>
              <w:rPr>
                <w:rFonts w:eastAsia="Times New Roman" w:cs="Arial" w:ascii="Arial" w:hAnsi="Arial"/>
                <w:color w:val="000000"/>
                <w:sz w:val="24"/>
                <w:szCs w:val="24"/>
              </w:rPr>
              <w:t>lambda</w:t>
            </w:r>
          </w:p>
        </w:tc>
        <w:tc>
          <w:tcPr>
            <w:tcW w:w="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Standard"/>
              <w:spacing w:lineRule="auto" w:line="240" w:before="0" w:after="0"/>
              <w:rPr/>
            </w:pPr>
            <w:r>
              <w:rPr>
                <w:rFonts w:eastAsia="Times New Roman" w:cs="Arial" w:ascii="Arial" w:hAnsi="Arial"/>
                <w:color w:val="000000"/>
                <w:sz w:val="24"/>
                <w:szCs w:val="24"/>
              </w:rPr>
              <w:t>mu</w:t>
            </w:r>
          </w:p>
        </w:tc>
        <w:tc>
          <w:tcPr>
            <w:tcW w:w="18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Standard"/>
              <w:spacing w:lineRule="auto" w:line="240" w:before="0" w:after="0"/>
              <w:rPr/>
            </w:pPr>
            <w:r>
              <w:rPr>
                <w:rFonts w:eastAsia="Times New Roman" w:cs="Arial" w:ascii="Arial" w:hAnsi="Arial"/>
                <w:color w:val="000000"/>
                <w:sz w:val="24"/>
                <w:szCs w:val="24"/>
              </w:rPr>
              <w:t>Avg Missed Events %</w:t>
            </w:r>
          </w:p>
        </w:tc>
        <w:tc>
          <w:tcPr>
            <w:tcW w:w="2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Standard"/>
              <w:spacing w:lineRule="auto" w:line="240" w:before="0" w:after="0"/>
              <w:rPr/>
            </w:pPr>
            <w:r>
              <w:rPr>
                <w:rFonts w:eastAsia="Times New Roman" w:cs="Arial" w:ascii="Arial" w:hAnsi="Arial"/>
                <w:color w:val="000000"/>
                <w:sz w:val="24"/>
                <w:szCs w:val="24"/>
              </w:rPr>
              <w:t>Avg Response Time (s)</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Standard"/>
              <w:spacing w:lineRule="auto" w:line="240" w:before="0" w:after="0"/>
              <w:rPr/>
            </w:pPr>
            <w:r>
              <w:rPr>
                <w:rFonts w:eastAsia="Times New Roman" w:cs="Arial" w:ascii="Arial" w:hAnsi="Arial"/>
                <w:color w:val="000000"/>
                <w:sz w:val="24"/>
                <w:szCs w:val="24"/>
              </w:rPr>
              <w:t>Avg Turn Around Time (s)</w:t>
            </w:r>
          </w:p>
        </w:tc>
      </w:tr>
      <w:tr>
        <w:trPr>
          <w:trHeight w:val="285" w:hRule="atLeast"/>
        </w:trPr>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2</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10</w:t>
            </w:r>
          </w:p>
        </w:tc>
        <w:tc>
          <w:tcPr>
            <w:tcW w:w="18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0.5</w:t>
            </w:r>
          </w:p>
        </w:tc>
        <w:tc>
          <w:tcPr>
            <w:tcW w:w="2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0.028097</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0.13624</w:t>
            </w:r>
          </w:p>
        </w:tc>
      </w:tr>
      <w:tr>
        <w:trPr>
          <w:trHeight w:val="285" w:hRule="atLeast"/>
        </w:trPr>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2</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30</w:t>
            </w:r>
          </w:p>
        </w:tc>
        <w:tc>
          <w:tcPr>
            <w:tcW w:w="18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14.5</w:t>
            </w:r>
          </w:p>
        </w:tc>
        <w:tc>
          <w:tcPr>
            <w:tcW w:w="2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0.099073</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0.305058</w:t>
            </w:r>
          </w:p>
        </w:tc>
      </w:tr>
      <w:tr>
        <w:trPr>
          <w:trHeight w:val="285" w:hRule="atLeast"/>
        </w:trPr>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2</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60</w:t>
            </w:r>
          </w:p>
        </w:tc>
        <w:tc>
          <w:tcPr>
            <w:tcW w:w="18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30</w:t>
            </w:r>
          </w:p>
        </w:tc>
        <w:tc>
          <w:tcPr>
            <w:tcW w:w="2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0.19745</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0.474583</w:t>
            </w:r>
          </w:p>
        </w:tc>
      </w:tr>
      <w:tr>
        <w:trPr>
          <w:trHeight w:val="285" w:hRule="atLeast"/>
        </w:trPr>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2</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90</w:t>
            </w:r>
          </w:p>
        </w:tc>
        <w:tc>
          <w:tcPr>
            <w:tcW w:w="18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46</w:t>
            </w:r>
          </w:p>
        </w:tc>
        <w:tc>
          <w:tcPr>
            <w:tcW w:w="2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0.293826</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0.570439</w:t>
            </w:r>
          </w:p>
        </w:tc>
      </w:tr>
      <w:tr>
        <w:trPr>
          <w:trHeight w:val="285" w:hRule="atLeast"/>
        </w:trPr>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4</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10</w:t>
            </w:r>
          </w:p>
        </w:tc>
        <w:tc>
          <w:tcPr>
            <w:tcW w:w="18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0.5</w:t>
            </w:r>
          </w:p>
        </w:tc>
        <w:tc>
          <w:tcPr>
            <w:tcW w:w="2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0.013155</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0.070574</w:t>
            </w:r>
          </w:p>
        </w:tc>
      </w:tr>
      <w:tr>
        <w:trPr>
          <w:trHeight w:val="285" w:hRule="atLeast"/>
        </w:trPr>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4</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30</w:t>
            </w:r>
          </w:p>
        </w:tc>
        <w:tc>
          <w:tcPr>
            <w:tcW w:w="18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4.5</w:t>
            </w:r>
          </w:p>
        </w:tc>
        <w:tc>
          <w:tcPr>
            <w:tcW w:w="2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0.09666</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0.230552</w:t>
            </w:r>
          </w:p>
        </w:tc>
      </w:tr>
      <w:tr>
        <w:trPr>
          <w:trHeight w:val="285" w:hRule="atLeast"/>
        </w:trPr>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4</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60</w:t>
            </w:r>
          </w:p>
        </w:tc>
        <w:tc>
          <w:tcPr>
            <w:tcW w:w="18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14.75</w:t>
            </w:r>
          </w:p>
        </w:tc>
        <w:tc>
          <w:tcPr>
            <w:tcW w:w="2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0.2313945</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0.443452</w:t>
            </w:r>
          </w:p>
        </w:tc>
      </w:tr>
      <w:tr>
        <w:trPr>
          <w:trHeight w:val="285" w:hRule="atLeast"/>
        </w:trPr>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4</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90</w:t>
            </w:r>
          </w:p>
        </w:tc>
        <w:tc>
          <w:tcPr>
            <w:tcW w:w="18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26.75</w:t>
            </w:r>
          </w:p>
        </w:tc>
        <w:tc>
          <w:tcPr>
            <w:tcW w:w="2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0.394554</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0.61029525</w:t>
            </w:r>
          </w:p>
        </w:tc>
      </w:tr>
      <w:tr>
        <w:trPr>
          <w:trHeight w:val="285" w:hRule="atLeast"/>
        </w:trPr>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8</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4</w:t>
            </w:r>
          </w:p>
        </w:tc>
        <w:tc>
          <w:tcPr>
            <w:tcW w:w="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10</w:t>
            </w:r>
          </w:p>
        </w:tc>
        <w:tc>
          <w:tcPr>
            <w:tcW w:w="18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0.25</w:t>
            </w:r>
          </w:p>
        </w:tc>
        <w:tc>
          <w:tcPr>
            <w:tcW w:w="2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0.011846375</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0.070233125</w:t>
            </w:r>
          </w:p>
        </w:tc>
      </w:tr>
      <w:tr>
        <w:trPr>
          <w:trHeight w:val="285" w:hRule="atLeast"/>
        </w:trPr>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8</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4</w:t>
            </w:r>
          </w:p>
        </w:tc>
        <w:tc>
          <w:tcPr>
            <w:tcW w:w="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30</w:t>
            </w:r>
          </w:p>
        </w:tc>
        <w:tc>
          <w:tcPr>
            <w:tcW w:w="18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1.375</w:t>
            </w:r>
          </w:p>
        </w:tc>
        <w:tc>
          <w:tcPr>
            <w:tcW w:w="2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0.089242625</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0.247915625</w:t>
            </w:r>
          </w:p>
        </w:tc>
      </w:tr>
      <w:tr>
        <w:trPr>
          <w:trHeight w:val="285" w:hRule="atLeast"/>
        </w:trPr>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8</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6</w:t>
            </w:r>
          </w:p>
        </w:tc>
        <w:tc>
          <w:tcPr>
            <w:tcW w:w="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60</w:t>
            </w:r>
          </w:p>
        </w:tc>
        <w:tc>
          <w:tcPr>
            <w:tcW w:w="18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6.77125</w:t>
            </w:r>
          </w:p>
        </w:tc>
        <w:tc>
          <w:tcPr>
            <w:tcW w:w="2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0.538235875</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0.947026125</w:t>
            </w:r>
          </w:p>
        </w:tc>
      </w:tr>
      <w:tr>
        <w:trPr>
          <w:trHeight w:val="285" w:hRule="atLeast"/>
        </w:trPr>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8</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6</w:t>
            </w:r>
          </w:p>
        </w:tc>
        <w:tc>
          <w:tcPr>
            <w:tcW w:w="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90</w:t>
            </w:r>
          </w:p>
        </w:tc>
        <w:tc>
          <w:tcPr>
            <w:tcW w:w="18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17.6525</w:t>
            </w:r>
          </w:p>
        </w:tc>
        <w:tc>
          <w:tcPr>
            <w:tcW w:w="2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1.144154</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vAlign w:val="bottom"/>
          </w:tcPr>
          <w:p>
            <w:pPr>
              <w:pStyle w:val="Standard"/>
              <w:spacing w:lineRule="auto" w:line="240" w:before="0" w:after="0"/>
              <w:rPr/>
            </w:pPr>
            <w:r>
              <w:rPr>
                <w:rFonts w:eastAsia="Times New Roman" w:cs="Arial" w:ascii="Arial" w:hAnsi="Arial"/>
                <w:color w:val="000000"/>
                <w:sz w:val="24"/>
                <w:szCs w:val="24"/>
              </w:rPr>
              <w:t>1.543744375</w:t>
            </w:r>
          </w:p>
        </w:tc>
      </w:tr>
    </w:tbl>
    <w:p>
      <w:pPr>
        <w:pStyle w:val="Standard"/>
        <w:ind w:firstLine="720"/>
        <w:rPr>
          <w:rFonts w:ascii="Arial" w:hAnsi="Arial" w:cs="Arial"/>
          <w:sz w:val="24"/>
          <w:szCs w:val="24"/>
        </w:rPr>
      </w:pPr>
      <w:r>
        <w:rPr>
          <w:rFonts w:cs="Arial" w:ascii="Arial" w:hAnsi="Arial"/>
          <w:sz w:val="24"/>
          <w:szCs w:val="24"/>
        </w:rPr>
      </w:r>
    </w:p>
    <w:p>
      <w:pPr>
        <w:pStyle w:val="Standard"/>
        <w:ind w:firstLine="720"/>
        <w:rPr/>
      </w:pPr>
      <w:r>
        <w:rPr>
          <w:rFonts w:cs="Arial" w:ascii="Arial" w:hAnsi="Arial"/>
          <w:sz w:val="24"/>
          <w:szCs w:val="24"/>
        </w:rPr>
        <w:t>Due to the nature of Round Robin, the code is bound to miss events.  When a flag indicates that there are buffered events, the program services Device 0, and then moves on to Device 1 and Device 2, all the way to Device n, and services the events in that order. Device 0 does not stop generating events while Round Robin iterates through n devices and may generate another event before the server makes a complete cycle. Since our program cannot respond to events while serving, this results in misses.</w:t>
      </w:r>
    </w:p>
    <w:p>
      <w:pPr>
        <w:pStyle w:val="Standard"/>
        <w:ind w:firstLine="720"/>
        <w:rPr/>
      </w:pPr>
      <w:r>
        <w:rPr>
          <w:rFonts w:cs="Arial" w:ascii="Arial" w:hAnsi="Arial"/>
          <w:sz w:val="24"/>
          <w:szCs w:val="24"/>
        </w:rPr>
        <w:t>Our results indicate that, with optimal service time, our code is able to process generated event with over a 99% hit rate.  As shown in figure 1, the time it takes to service each event (</w:t>
      </w:r>
      <w:r>
        <w:rPr>
          <w:rFonts w:cs="Arial" w:ascii="Arial" w:hAnsi="Arial"/>
          <w:b/>
          <w:sz w:val="24"/>
          <w:szCs w:val="24"/>
        </w:rPr>
        <w:t>mu</w:t>
      </w:r>
      <w:r>
        <w:rPr>
          <w:rFonts w:cs="Arial" w:ascii="Arial" w:hAnsi="Arial"/>
          <w:sz w:val="24"/>
          <w:szCs w:val="24"/>
        </w:rPr>
        <w:t>) increases, our code misses more events since the blackout time due to servicing an event is longer and code cannot react to events generated in that period.  Furthermore, as the average interval time between arrivals (</w:t>
      </w:r>
      <w:r>
        <w:rPr>
          <w:rFonts w:cs="Arial" w:ascii="Arial" w:hAnsi="Arial"/>
          <w:b/>
          <w:sz w:val="24"/>
          <w:szCs w:val="24"/>
        </w:rPr>
        <w:t>lambda</w:t>
      </w:r>
      <w:r>
        <w:rPr>
          <w:rFonts w:cs="Arial" w:ascii="Arial" w:hAnsi="Arial"/>
          <w:sz w:val="24"/>
          <w:szCs w:val="24"/>
        </w:rPr>
        <w:t>) increases, the percentage of missed events falls (Figure 2). This is because here is more time for the program to react to new events that arrive before another event comes after it (events are being generated slowly)</w:t>
      </w:r>
    </w:p>
    <w:p>
      <w:pPr>
        <w:pStyle w:val="Standard"/>
        <w:ind w:firstLine="720"/>
        <w:rPr/>
      </w:pPr>
      <w:r>
        <w:rPr/>
        <w:drawing>
          <wp:inline distT="0" distB="0" distL="0" distR="0">
            <wp:extent cx="5310505" cy="362013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Standard"/>
        <w:ind w:firstLine="720"/>
        <w:jc w:val="center"/>
        <w:rPr/>
      </w:pPr>
      <w:r>
        <w:rPr>
          <w:rFonts w:cs="Arial" w:ascii="Arial" w:hAnsi="Arial"/>
          <w:sz w:val="24"/>
          <w:szCs w:val="24"/>
        </w:rPr>
        <w:t>Figure 1</w:t>
      </w:r>
    </w:p>
    <w:p>
      <w:pPr>
        <w:pStyle w:val="Standard"/>
        <w:ind w:firstLine="720"/>
        <w:jc w:val="center"/>
        <w:rPr/>
      </w:pPr>
      <w:r>
        <w:rPr/>
      </w:r>
    </w:p>
    <w:p>
      <w:pPr>
        <w:pStyle w:val="Standard"/>
        <w:jc w:val="center"/>
        <w:rPr/>
      </w:pPr>
      <w:r>
        <w:rPr/>
        <w:drawing>
          <wp:inline distT="0" distB="0" distL="0" distR="0">
            <wp:extent cx="5673725" cy="362077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Standard"/>
        <w:ind w:firstLine="720"/>
        <w:jc w:val="center"/>
        <w:rPr/>
      </w:pPr>
      <w:r>
        <w:rPr>
          <w:rFonts w:cs="Arial" w:ascii="Arial" w:hAnsi="Arial"/>
          <w:sz w:val="24"/>
          <w:szCs w:val="24"/>
        </w:rPr>
        <w:t>Figure 2</w:t>
      </w:r>
    </w:p>
    <w:p>
      <w:pPr>
        <w:pStyle w:val="Standard"/>
        <w:ind w:firstLine="720"/>
        <w:rPr/>
      </w:pPr>
      <w:r>
        <w:rPr>
          <w:rFonts w:cs="Arial" w:ascii="Arial" w:hAnsi="Arial"/>
          <w:sz w:val="24"/>
          <w:szCs w:val="24"/>
        </w:rPr>
        <w:t>In the case of Round Robin in a single threaded environment, turnaround time exhibits the same trend as response time. As shown in figure 3, longer turnaround time leads to more missed events because the program is unable to react to new events for a longer period of time.</w:t>
      </w:r>
    </w:p>
    <w:p>
      <w:pPr>
        <w:pStyle w:val="Standard"/>
        <w:ind w:firstLine="720"/>
        <w:rPr/>
      </w:pPr>
      <w:r>
        <w:rPr/>
        <w:drawing>
          <wp:inline distT="0" distB="0" distL="0" distR="0">
            <wp:extent cx="5872480" cy="323977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Standard"/>
        <w:ind w:firstLine="720"/>
        <w:jc w:val="center"/>
        <w:rPr/>
      </w:pPr>
      <w:r>
        <w:rPr>
          <w:rFonts w:cs="Arial" w:ascii="Arial" w:hAnsi="Arial"/>
          <w:sz w:val="24"/>
          <w:szCs w:val="24"/>
        </w:rPr>
        <w:t>Figure 3</w:t>
      </w:r>
    </w:p>
    <w:p>
      <w:pPr>
        <w:pStyle w:val="Standard"/>
        <w:ind w:firstLine="720"/>
        <w:rPr/>
      </w:pPr>
      <w:r>
        <w:rPr>
          <w:rFonts w:cs="Arial" w:ascii="Arial" w:hAnsi="Arial"/>
          <w:sz w:val="24"/>
          <w:szCs w:val="24"/>
        </w:rPr>
        <w:t xml:space="preserve">Our code minimizes the time it takes to completely service all buffered events in a single cycle by only cycling through the number of devices that are actively generating events, not by checking each flag individually on each cycle. We also reduced memory footprints and execution times by using minimal variables and bitwise operations. If we are limited by Round Robin, we can only decrease the number of missed events by reducing turnaround time for each event in a single threaded environment. If we implement </w:t>
      </w:r>
      <w:r>
        <w:rPr>
          <w:rFonts w:cs="Arial" w:ascii="Arial" w:hAnsi="Arial"/>
          <w:sz w:val="24"/>
          <w:szCs w:val="24"/>
        </w:rPr>
        <w:t>multi threading</w:t>
      </w:r>
      <w:r>
        <w:rPr>
          <w:rFonts w:cs="Arial" w:ascii="Arial" w:hAnsi="Arial"/>
          <w:sz w:val="24"/>
          <w:szCs w:val="24"/>
        </w:rPr>
        <w:t xml:space="preserve"> with Round Robin, we could reduce response time since we w</w:t>
      </w:r>
      <w:r>
        <w:rPr>
          <w:rFonts w:cs="Arial" w:ascii="Arial" w:hAnsi="Arial"/>
          <w:sz w:val="24"/>
          <w:szCs w:val="24"/>
        </w:rPr>
        <w:t>i</w:t>
      </w:r>
      <w:r>
        <w:rPr>
          <w:rFonts w:cs="Arial" w:ascii="Arial" w:hAnsi="Arial"/>
          <w:sz w:val="24"/>
          <w:szCs w:val="24"/>
        </w:rPr>
        <w:t xml:space="preserve">ll be able to respond to events while other events are being served.  These are all strategies in addition to improving program efficiency and reduce the time it takes to complete a </w:t>
      </w:r>
      <w:bookmarkStart w:id="0" w:name="_GoBack"/>
      <w:bookmarkEnd w:id="0"/>
      <w:r>
        <w:rPr>
          <w:rFonts w:cs="Arial" w:ascii="Arial" w:hAnsi="Arial"/>
          <w:sz w:val="24"/>
          <w:szCs w:val="24"/>
        </w:rPr>
        <w:t>cycle.</w:t>
      </w:r>
    </w:p>
    <w:p>
      <w:pPr>
        <w:pStyle w:val="Standard"/>
        <w:ind w:firstLine="720"/>
        <w:rPr>
          <w:rFonts w:ascii="Arial" w:hAnsi="Arial" w:cs="Arial"/>
          <w:sz w:val="24"/>
          <w:szCs w:val="24"/>
        </w:rPr>
      </w:pPr>
      <w:r>
        <w:rPr>
          <w:rFonts w:cs="Arial" w:ascii="Arial" w:hAnsi="Arial"/>
          <w:sz w:val="24"/>
          <w:szCs w:val="24"/>
        </w:rPr>
      </w:r>
    </w:p>
    <w:p>
      <w:pPr>
        <w:pStyle w:val="Standard"/>
        <w:spacing w:before="0" w:after="160"/>
        <w:jc w:val="center"/>
        <w:rPr/>
      </w:pPr>
      <w:r>
        <w:rPr/>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F"/>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Calibri" w:hAnsi="Calibri" w:eastAsia="Calibri" w:cs="F"/>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Standard"/>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1"/>
    <w:pPr/>
    <w:rPr>
      <w:rFonts w:cs="Lohit Devanagari"/>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cs="Lohit Devanagari"/>
      <w:sz w:val="24"/>
    </w:rPr>
  </w:style>
  <w:style w:type="paragraph" w:styleId="Standard" w:customStyle="1">
    <w:name w:val="Standard"/>
    <w:qFormat/>
    <w:pPr>
      <w:widowControl/>
      <w:bidi w:val="0"/>
      <w:spacing w:lineRule="auto" w:line="259" w:before="0" w:after="160"/>
      <w:jc w:val="left"/>
    </w:pPr>
    <w:rPr>
      <w:rFonts w:ascii="Calibri" w:hAnsi="Calibri" w:eastAsia="Calibri" w:cs="F"/>
      <w:color w:val="auto"/>
      <w:sz w:val="22"/>
      <w:szCs w:val="22"/>
      <w:lang w:val="en-US" w:eastAsia="en-US" w:bidi="ar-SA"/>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rFonts w:cs="Lohit Devanagari"/>
      <w:i/>
      <w:iCs/>
      <w:sz w:val="24"/>
      <w:szCs w:val="24"/>
    </w:rPr>
  </w:style>
  <w:style w:type="numbering" w:styleId="NoList" w:default="1">
    <w:name w:val="No List"/>
    <w:uiPriority w:val="99"/>
    <w:semiHidden/>
    <w:unhideWhenUsed/>
    <w:qFormat/>
  </w:style>
  <w:style w:type="numbering" w:styleId="NoList1" w:customStyle="1">
    <w:name w:val="No List_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Missed Event Percentage VS Avg Response Time (s)</a:t>
            </a:r>
          </a:p>
        </c:rich>
      </c:tx>
      <c:overlay val="0"/>
    </c:title>
    <c:autoTitleDeleted val="0"/>
    <c:plotArea>
      <c:scatterChart>
        <c:scatterStyle val="lineMarker"/>
        <c:varyColors val="0"/>
        <c:ser>
          <c:idx val="0"/>
          <c:order val="0"/>
          <c:tx>
            <c:strRef>
              <c:f>label 0</c:f>
              <c:strCache>
                <c:ptCount val="1"/>
                <c:pt idx="0">
                  <c:v>2 devices</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xVal>
            <c:numRef>
              <c:f>1</c:f>
              <c:numCache>
                <c:formatCode>General</c:formatCode>
                <c:ptCount val="4"/>
                <c:pt idx="0">
                  <c:v>0.028097</c:v>
                </c:pt>
                <c:pt idx="1">
                  <c:v>0.099073</c:v>
                </c:pt>
                <c:pt idx="2">
                  <c:v>0.19745</c:v>
                </c:pt>
                <c:pt idx="3">
                  <c:v>0.293826</c:v>
                </c:pt>
              </c:numCache>
            </c:numRef>
          </c:xVal>
          <c:yVal>
            <c:numRef>
              <c:f>0</c:f>
              <c:numCache>
                <c:formatCode>General</c:formatCode>
                <c:ptCount val="4"/>
                <c:pt idx="0">
                  <c:v>0.5</c:v>
                </c:pt>
                <c:pt idx="1">
                  <c:v>14.5</c:v>
                </c:pt>
                <c:pt idx="2">
                  <c:v>30</c:v>
                </c:pt>
                <c:pt idx="3">
                  <c:v>46</c:v>
                </c:pt>
              </c:numCache>
            </c:numRef>
          </c:yVal>
          <c:smooth val="1"/>
        </c:ser>
        <c:ser>
          <c:idx val="1"/>
          <c:order val="1"/>
          <c:tx>
            <c:strRef>
              <c:f>label 2</c:f>
              <c:strCache>
                <c:ptCount val="1"/>
                <c:pt idx="0">
                  <c:v>4 devices</c:v>
                </c:pt>
              </c:strCache>
            </c:strRef>
          </c:tx>
          <c:spPr>
            <a:solidFill>
              <a:srgbClr val="ff420e"/>
            </a:solidFill>
            <a:ln w="28800">
              <a:solidFill>
                <a:srgbClr val="ff420e"/>
              </a:solidFill>
              <a:round/>
            </a:ln>
          </c:spPr>
          <c:marker>
            <c:symbol val="diamond"/>
            <c:size val="8"/>
            <c:spPr>
              <a:solidFill>
                <a:srgbClr val="ff420e"/>
              </a:solidFill>
            </c:spPr>
          </c:marker>
          <c:dLbls>
            <c:dLblPos val="r"/>
            <c:showLegendKey val="0"/>
            <c:showVal val="0"/>
            <c:showCatName val="0"/>
            <c:showSerName val="0"/>
            <c:showPercent val="0"/>
            <c:showLeaderLines val="0"/>
          </c:dLbls>
          <c:xVal>
            <c:numRef>
              <c:f>3</c:f>
              <c:numCache>
                <c:formatCode>General</c:formatCode>
                <c:ptCount val="4"/>
                <c:pt idx="0">
                  <c:v>0.013155</c:v>
                </c:pt>
                <c:pt idx="1">
                  <c:v>0.09666</c:v>
                </c:pt>
                <c:pt idx="2">
                  <c:v>0.2313945</c:v>
                </c:pt>
                <c:pt idx="3">
                  <c:v>0.394554</c:v>
                </c:pt>
              </c:numCache>
            </c:numRef>
          </c:xVal>
          <c:yVal>
            <c:numRef>
              <c:f>2</c:f>
              <c:numCache>
                <c:formatCode>General</c:formatCode>
                <c:ptCount val="4"/>
                <c:pt idx="0">
                  <c:v>0.5</c:v>
                </c:pt>
                <c:pt idx="1">
                  <c:v>4.5</c:v>
                </c:pt>
                <c:pt idx="2">
                  <c:v>14.75</c:v>
                </c:pt>
                <c:pt idx="3">
                  <c:v>26.75</c:v>
                </c:pt>
              </c:numCache>
            </c:numRef>
          </c:yVal>
          <c:smooth val="1"/>
        </c:ser>
        <c:ser>
          <c:idx val="2"/>
          <c:order val="2"/>
          <c:tx>
            <c:strRef>
              <c:f>label 4</c:f>
              <c:strCache>
                <c:ptCount val="1"/>
                <c:pt idx="0">
                  <c:v>8 devices</c:v>
                </c:pt>
              </c:strCache>
            </c:strRef>
          </c:tx>
          <c:spPr>
            <a:solidFill>
              <a:srgbClr val="ffd320"/>
            </a:solidFill>
            <a:ln w="28800">
              <a:solidFill>
                <a:srgbClr val="ffd320"/>
              </a:solidFill>
              <a:round/>
            </a:ln>
          </c:spPr>
          <c:marker>
            <c:symbol val="triangle"/>
            <c:size val="8"/>
            <c:spPr>
              <a:solidFill>
                <a:srgbClr val="ffd320"/>
              </a:solidFill>
            </c:spPr>
          </c:marker>
          <c:dLbls>
            <c:dLblPos val="r"/>
            <c:showLegendKey val="0"/>
            <c:showVal val="0"/>
            <c:showCatName val="0"/>
            <c:showSerName val="0"/>
            <c:showPercent val="0"/>
            <c:showLeaderLines val="0"/>
          </c:dLbls>
          <c:xVal>
            <c:numRef>
              <c:f>5</c:f>
              <c:numCache>
                <c:formatCode>General</c:formatCode>
                <c:ptCount val="4"/>
                <c:pt idx="0">
                  <c:v>0.011846375</c:v>
                </c:pt>
                <c:pt idx="1">
                  <c:v>0.089242625</c:v>
                </c:pt>
                <c:pt idx="2">
                  <c:v>0.538235875</c:v>
                </c:pt>
                <c:pt idx="3">
                  <c:v>1.144154</c:v>
                </c:pt>
              </c:numCache>
            </c:numRef>
          </c:xVal>
          <c:yVal>
            <c:numRef>
              <c:f>4</c:f>
              <c:numCache>
                <c:formatCode>General</c:formatCode>
                <c:ptCount val="4"/>
                <c:pt idx="0">
                  <c:v>0.25</c:v>
                </c:pt>
                <c:pt idx="1">
                  <c:v>1.375</c:v>
                </c:pt>
                <c:pt idx="2">
                  <c:v>6.77125</c:v>
                </c:pt>
                <c:pt idx="3">
                  <c:v>17.6525</c:v>
                </c:pt>
              </c:numCache>
            </c:numRef>
          </c:yVal>
          <c:smooth val="1"/>
        </c:ser>
        <c:axId val="14253115"/>
        <c:axId val="36629619"/>
      </c:scatterChart>
      <c:valAx>
        <c:axId val="14253115"/>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Avg Response Time(s)</a:t>
                </a:r>
              </a:p>
            </c:rich>
          </c:tx>
          <c:overlay val="0"/>
        </c:title>
        <c:numFmt formatCode="General" sourceLinked="0"/>
        <c:majorTickMark val="none"/>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36629619"/>
        <c:crosses val="autoZero"/>
        <c:crossBetween val="midCat"/>
      </c:valAx>
      <c:valAx>
        <c:axId val="36629619"/>
        <c:scaling>
          <c:orientation val="minMax"/>
        </c:scaling>
        <c:delete val="0"/>
        <c:axPos val="l"/>
        <c:majorGridlines>
          <c:spPr>
            <a:ln w="6480">
              <a:solidFill>
                <a:srgbClr val="b3b3b3"/>
              </a:solidFill>
              <a:round/>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Avg Missed Events %</a:t>
                </a:r>
              </a:p>
            </c:rich>
          </c:tx>
          <c:overlay val="0"/>
        </c:title>
        <c:numFmt formatCode="General" sourceLinked="0"/>
        <c:majorTickMark val="none"/>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14253115"/>
        <c:crosses val="autoZero"/>
        <c:crossBetween val="midCat"/>
      </c:valAx>
      <c:spPr>
        <a:noFill/>
        <a:ln w="25560">
          <a:solidFill>
            <a:srgbClr val="000000"/>
          </a:solidFill>
          <a:round/>
        </a:ln>
      </c:spPr>
    </c:plotArea>
    <c:legend>
      <c:legendPos val="r"/>
      <c:overlay val="0"/>
      <c:spPr>
        <a:noFill/>
        <a:ln>
          <a:noFill/>
        </a:ln>
      </c:sp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Missed Event Percentage VS Avg Response Time (s)</a:t>
            </a:r>
          </a:p>
        </c:rich>
      </c:tx>
      <c:overlay val="0"/>
    </c:title>
    <c:autoTitleDeleted val="0"/>
    <c:plotArea>
      <c:scatterChart>
        <c:scatterStyle val="lineMarker"/>
        <c:varyColors val="0"/>
        <c:ser>
          <c:idx val="0"/>
          <c:order val="0"/>
          <c:tx>
            <c:strRef>
              <c:f>label 0</c:f>
              <c:strCache>
                <c:ptCount val="1"/>
                <c:pt idx="0">
                  <c:v>2 devices</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xVal>
            <c:numRef>
              <c:f>1</c:f>
              <c:numCache>
                <c:formatCode>General</c:formatCode>
                <c:ptCount val="4"/>
                <c:pt idx="0">
                  <c:v>0.028097</c:v>
                </c:pt>
                <c:pt idx="1">
                  <c:v>0.099073</c:v>
                </c:pt>
                <c:pt idx="2">
                  <c:v>0.19745</c:v>
                </c:pt>
                <c:pt idx="3">
                  <c:v>0.293826</c:v>
                </c:pt>
              </c:numCache>
            </c:numRef>
          </c:xVal>
          <c:yVal>
            <c:numRef>
              <c:f>0</c:f>
              <c:numCache>
                <c:formatCode>General</c:formatCode>
                <c:ptCount val="4"/>
                <c:pt idx="0">
                  <c:v>0.5</c:v>
                </c:pt>
                <c:pt idx="1">
                  <c:v>14.5</c:v>
                </c:pt>
                <c:pt idx="2">
                  <c:v>30</c:v>
                </c:pt>
                <c:pt idx="3">
                  <c:v>46</c:v>
                </c:pt>
              </c:numCache>
            </c:numRef>
          </c:yVal>
          <c:smooth val="1"/>
        </c:ser>
        <c:ser>
          <c:idx val="1"/>
          <c:order val="1"/>
          <c:tx>
            <c:strRef>
              <c:f>label 2</c:f>
              <c:strCache>
                <c:ptCount val="1"/>
                <c:pt idx="0">
                  <c:v>4 devices</c:v>
                </c:pt>
              </c:strCache>
            </c:strRef>
          </c:tx>
          <c:spPr>
            <a:solidFill>
              <a:srgbClr val="ff420e"/>
            </a:solidFill>
            <a:ln w="28800">
              <a:solidFill>
                <a:srgbClr val="ff420e"/>
              </a:solidFill>
              <a:round/>
            </a:ln>
          </c:spPr>
          <c:marker>
            <c:symbol val="diamond"/>
            <c:size val="8"/>
            <c:spPr>
              <a:solidFill>
                <a:srgbClr val="ff420e"/>
              </a:solidFill>
            </c:spPr>
          </c:marker>
          <c:dLbls>
            <c:dLblPos val="r"/>
            <c:showLegendKey val="0"/>
            <c:showVal val="0"/>
            <c:showCatName val="0"/>
            <c:showSerName val="0"/>
            <c:showPercent val="0"/>
            <c:showLeaderLines val="0"/>
          </c:dLbls>
          <c:xVal>
            <c:numRef>
              <c:f>3</c:f>
              <c:numCache>
                <c:formatCode>General</c:formatCode>
                <c:ptCount val="4"/>
                <c:pt idx="0">
                  <c:v>0.013155</c:v>
                </c:pt>
                <c:pt idx="1">
                  <c:v>0.09666</c:v>
                </c:pt>
                <c:pt idx="2">
                  <c:v>0.2313945</c:v>
                </c:pt>
                <c:pt idx="3">
                  <c:v>0.394554</c:v>
                </c:pt>
              </c:numCache>
            </c:numRef>
          </c:xVal>
          <c:yVal>
            <c:numRef>
              <c:f>2</c:f>
              <c:numCache>
                <c:formatCode>General</c:formatCode>
                <c:ptCount val="4"/>
                <c:pt idx="0">
                  <c:v>0.5</c:v>
                </c:pt>
                <c:pt idx="1">
                  <c:v>4.5</c:v>
                </c:pt>
                <c:pt idx="2">
                  <c:v>14.75</c:v>
                </c:pt>
                <c:pt idx="3">
                  <c:v>26.75</c:v>
                </c:pt>
              </c:numCache>
            </c:numRef>
          </c:yVal>
          <c:smooth val="1"/>
        </c:ser>
        <c:ser>
          <c:idx val="2"/>
          <c:order val="2"/>
          <c:tx>
            <c:strRef>
              <c:f>label 4</c:f>
              <c:strCache>
                <c:ptCount val="1"/>
                <c:pt idx="0">
                  <c:v>8 devices</c:v>
                </c:pt>
              </c:strCache>
            </c:strRef>
          </c:tx>
          <c:spPr>
            <a:solidFill>
              <a:srgbClr val="ffd320"/>
            </a:solidFill>
            <a:ln w="28800">
              <a:solidFill>
                <a:srgbClr val="ffd320"/>
              </a:solidFill>
              <a:round/>
            </a:ln>
          </c:spPr>
          <c:marker>
            <c:symbol val="triangle"/>
            <c:size val="8"/>
            <c:spPr>
              <a:solidFill>
                <a:srgbClr val="ffd320"/>
              </a:solidFill>
            </c:spPr>
          </c:marker>
          <c:dLbls>
            <c:dLblPos val="r"/>
            <c:showLegendKey val="0"/>
            <c:showVal val="0"/>
            <c:showCatName val="0"/>
            <c:showSerName val="0"/>
            <c:showPercent val="0"/>
            <c:showLeaderLines val="0"/>
          </c:dLbls>
          <c:xVal>
            <c:numRef>
              <c:f>5</c:f>
              <c:numCache>
                <c:formatCode>General</c:formatCode>
                <c:ptCount val="4"/>
                <c:pt idx="0">
                  <c:v>0.011846375</c:v>
                </c:pt>
                <c:pt idx="1">
                  <c:v>0.089242625</c:v>
                </c:pt>
                <c:pt idx="2">
                  <c:v>0.538235875</c:v>
                </c:pt>
                <c:pt idx="3">
                  <c:v>1.144154</c:v>
                </c:pt>
              </c:numCache>
            </c:numRef>
          </c:xVal>
          <c:yVal>
            <c:numRef>
              <c:f>4</c:f>
              <c:numCache>
                <c:formatCode>General</c:formatCode>
                <c:ptCount val="4"/>
                <c:pt idx="0">
                  <c:v>0.25</c:v>
                </c:pt>
                <c:pt idx="1">
                  <c:v>1.375</c:v>
                </c:pt>
                <c:pt idx="2">
                  <c:v>6.77125</c:v>
                </c:pt>
                <c:pt idx="3">
                  <c:v>17.6525</c:v>
                </c:pt>
              </c:numCache>
            </c:numRef>
          </c:yVal>
          <c:smooth val="1"/>
        </c:ser>
        <c:axId val="51703633"/>
        <c:axId val="77063795"/>
      </c:scatterChart>
      <c:valAx>
        <c:axId val="51703633"/>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Avg Response Time(s)</a:t>
                </a:r>
              </a:p>
            </c:rich>
          </c:tx>
          <c:overlay val="0"/>
        </c:title>
        <c:numFmt formatCode="General" sourceLinked="0"/>
        <c:majorTickMark val="none"/>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77063795"/>
        <c:crosses val="autoZero"/>
        <c:crossBetween val="midCat"/>
      </c:valAx>
      <c:valAx>
        <c:axId val="77063795"/>
        <c:scaling>
          <c:orientation val="minMax"/>
        </c:scaling>
        <c:delete val="0"/>
        <c:axPos val="l"/>
        <c:majorGridlines>
          <c:spPr>
            <a:ln w="6480">
              <a:solidFill>
                <a:srgbClr val="b3b3b3"/>
              </a:solidFill>
              <a:round/>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Avg Missed Events %</a:t>
                </a:r>
              </a:p>
            </c:rich>
          </c:tx>
          <c:overlay val="0"/>
        </c:title>
        <c:numFmt formatCode="General" sourceLinked="0"/>
        <c:majorTickMark val="none"/>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51703633"/>
        <c:crosses val="autoZero"/>
        <c:crossBetween val="midCat"/>
      </c:valAx>
      <c:spPr>
        <a:noFill/>
        <a:ln w="25560">
          <a:solidFill>
            <a:srgbClr val="000000"/>
          </a:solidFill>
          <a:round/>
        </a:ln>
      </c:spPr>
    </c:plotArea>
    <c:legend>
      <c:legendPos val="r"/>
      <c:overlay val="0"/>
      <c:spPr>
        <a:noFill/>
        <a:ln>
          <a:noFill/>
        </a:ln>
      </c:spPr>
    </c:legend>
    <c:plotVisOnly val="1"/>
    <c:dispBlanksAs val="gap"/>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Missed Event Percentage VS Avg Turn Around Time(s)</a:t>
            </a:r>
          </a:p>
        </c:rich>
      </c:tx>
      <c:overlay val="0"/>
    </c:title>
    <c:autoTitleDeleted val="0"/>
    <c:plotArea>
      <c:scatterChart>
        <c:scatterStyle val="lineMarker"/>
        <c:varyColors val="0"/>
        <c:ser>
          <c:idx val="0"/>
          <c:order val="0"/>
          <c:tx>
            <c:strRef>
              <c:f>label 0</c:f>
              <c:strCache>
                <c:ptCount val="1"/>
                <c:pt idx="0">
                  <c:v>2 devices</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xVal>
            <c:numRef>
              <c:f>1</c:f>
              <c:numCache>
                <c:formatCode>General</c:formatCode>
                <c:ptCount val="4"/>
                <c:pt idx="0">
                  <c:v>0.13624</c:v>
                </c:pt>
                <c:pt idx="1">
                  <c:v>0.305058</c:v>
                </c:pt>
                <c:pt idx="2">
                  <c:v>0.474583</c:v>
                </c:pt>
                <c:pt idx="3">
                  <c:v>0.570439</c:v>
                </c:pt>
              </c:numCache>
            </c:numRef>
          </c:xVal>
          <c:yVal>
            <c:numRef>
              <c:f>0</c:f>
              <c:numCache>
                <c:formatCode>General</c:formatCode>
                <c:ptCount val="4"/>
                <c:pt idx="0">
                  <c:v>0.5</c:v>
                </c:pt>
                <c:pt idx="1">
                  <c:v>14.5</c:v>
                </c:pt>
                <c:pt idx="2">
                  <c:v>30</c:v>
                </c:pt>
                <c:pt idx="3">
                  <c:v>46</c:v>
                </c:pt>
              </c:numCache>
            </c:numRef>
          </c:yVal>
          <c:smooth val="1"/>
        </c:ser>
        <c:ser>
          <c:idx val="1"/>
          <c:order val="1"/>
          <c:tx>
            <c:strRef>
              <c:f>label 2</c:f>
              <c:strCache>
                <c:ptCount val="1"/>
                <c:pt idx="0">
                  <c:v>4 devices</c:v>
                </c:pt>
              </c:strCache>
            </c:strRef>
          </c:tx>
          <c:spPr>
            <a:solidFill>
              <a:srgbClr val="ff420e"/>
            </a:solidFill>
            <a:ln w="28800">
              <a:solidFill>
                <a:srgbClr val="ff420e"/>
              </a:solidFill>
              <a:round/>
            </a:ln>
          </c:spPr>
          <c:marker>
            <c:symbol val="diamond"/>
            <c:size val="8"/>
            <c:spPr>
              <a:solidFill>
                <a:srgbClr val="ff420e"/>
              </a:solidFill>
            </c:spPr>
          </c:marker>
          <c:dLbls>
            <c:dLblPos val="r"/>
            <c:showLegendKey val="0"/>
            <c:showVal val="0"/>
            <c:showCatName val="0"/>
            <c:showSerName val="0"/>
            <c:showPercent val="0"/>
            <c:showLeaderLines val="0"/>
          </c:dLbls>
          <c:xVal>
            <c:numRef>
              <c:f>3</c:f>
              <c:numCache>
                <c:formatCode>General</c:formatCode>
                <c:ptCount val="4"/>
                <c:pt idx="0">
                  <c:v>0.070574</c:v>
                </c:pt>
                <c:pt idx="1">
                  <c:v>0.230552</c:v>
                </c:pt>
                <c:pt idx="2">
                  <c:v>0.443452</c:v>
                </c:pt>
                <c:pt idx="3">
                  <c:v>0.61029525</c:v>
                </c:pt>
              </c:numCache>
            </c:numRef>
          </c:xVal>
          <c:yVal>
            <c:numRef>
              <c:f>2</c:f>
              <c:numCache>
                <c:formatCode>General</c:formatCode>
                <c:ptCount val="4"/>
                <c:pt idx="0">
                  <c:v>0.5</c:v>
                </c:pt>
                <c:pt idx="1">
                  <c:v>4.5</c:v>
                </c:pt>
                <c:pt idx="2">
                  <c:v>14.75</c:v>
                </c:pt>
                <c:pt idx="3">
                  <c:v>26.75</c:v>
                </c:pt>
              </c:numCache>
            </c:numRef>
          </c:yVal>
          <c:smooth val="1"/>
        </c:ser>
        <c:ser>
          <c:idx val="2"/>
          <c:order val="2"/>
          <c:tx>
            <c:strRef>
              <c:f>label 4</c:f>
              <c:strCache>
                <c:ptCount val="1"/>
                <c:pt idx="0">
                  <c:v>8 devices</c:v>
                </c:pt>
              </c:strCache>
            </c:strRef>
          </c:tx>
          <c:spPr>
            <a:solidFill>
              <a:srgbClr val="ffd320"/>
            </a:solidFill>
            <a:ln w="28800">
              <a:solidFill>
                <a:srgbClr val="ffd320"/>
              </a:solidFill>
              <a:round/>
            </a:ln>
          </c:spPr>
          <c:marker>
            <c:symbol val="triangle"/>
            <c:size val="8"/>
            <c:spPr>
              <a:solidFill>
                <a:srgbClr val="ffd320"/>
              </a:solidFill>
            </c:spPr>
          </c:marker>
          <c:dLbls>
            <c:dLblPos val="r"/>
            <c:showLegendKey val="0"/>
            <c:showVal val="0"/>
            <c:showCatName val="0"/>
            <c:showSerName val="0"/>
            <c:showPercent val="0"/>
            <c:showLeaderLines val="0"/>
          </c:dLbls>
          <c:xVal>
            <c:numRef>
              <c:f>5</c:f>
              <c:numCache>
                <c:formatCode>General</c:formatCode>
                <c:ptCount val="4"/>
                <c:pt idx="0">
                  <c:v>0.070233125</c:v>
                </c:pt>
                <c:pt idx="1">
                  <c:v>0.247915625</c:v>
                </c:pt>
                <c:pt idx="2">
                  <c:v>0.947026125</c:v>
                </c:pt>
                <c:pt idx="3">
                  <c:v>1.543744375</c:v>
                </c:pt>
              </c:numCache>
            </c:numRef>
          </c:xVal>
          <c:yVal>
            <c:numRef>
              <c:f>4</c:f>
              <c:numCache>
                <c:formatCode>General</c:formatCode>
                <c:ptCount val="4"/>
                <c:pt idx="0">
                  <c:v>0.25</c:v>
                </c:pt>
                <c:pt idx="1">
                  <c:v>1.375</c:v>
                </c:pt>
                <c:pt idx="2">
                  <c:v>6.77125</c:v>
                </c:pt>
                <c:pt idx="3">
                  <c:v>17.6525</c:v>
                </c:pt>
              </c:numCache>
            </c:numRef>
          </c:yVal>
          <c:smooth val="1"/>
        </c:ser>
        <c:axId val="18394122"/>
        <c:axId val="79061111"/>
      </c:scatterChart>
      <c:valAx>
        <c:axId val="18394122"/>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Avg Turn Around Time (s)</a:t>
                </a:r>
              </a:p>
            </c:rich>
          </c:tx>
          <c:overlay val="0"/>
        </c:title>
        <c:numFmt formatCode="General" sourceLinked="0"/>
        <c:majorTickMark val="none"/>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79061111"/>
        <c:crosses val="autoZero"/>
        <c:crossBetween val="midCat"/>
      </c:valAx>
      <c:valAx>
        <c:axId val="79061111"/>
        <c:scaling>
          <c:orientation val="minMax"/>
        </c:scaling>
        <c:delete val="0"/>
        <c:axPos val="l"/>
        <c:majorGridlines>
          <c:spPr>
            <a:ln w="6480">
              <a:solidFill>
                <a:srgbClr val="b3b3b3"/>
              </a:solidFill>
              <a:round/>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Avg Missed Event (%)</a:t>
                </a:r>
              </a:p>
            </c:rich>
          </c:tx>
          <c:overlay val="0"/>
        </c:title>
        <c:numFmt formatCode="General" sourceLinked="0"/>
        <c:majorTickMark val="none"/>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18394122"/>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3</Pages>
  <Words>532</Words>
  <Characters>2506</Characters>
  <CharactersWithSpaces>2956</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2018-02-14T02:48:00Z</dcterms:created>
  <dc:creator>David_E</dc:creator>
  <dc:description/>
  <dc:language>en-US</dc:language>
  <cp:lastModifiedBy/>
  <dcterms:modified xsi:type="dcterms:W3CDTF">2018-02-13T20:54:52Z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