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473835" cy="40767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40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bookmarkStart w:colFirst="0" w:colLast="0" w:name="bookmark=id.swb2oq7x0pi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TOBB ETU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Economy &amp; Technology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BIL 495 / YAP 495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Architecture Document (SAD)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IEEE 42010 / INCOSE SE Handbook 5th 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dazigjl2nifh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Document Control Table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Title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Closure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ID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(To be assigned)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 (Author)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Kerem Kazandır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 By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By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Preparation Date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Approval Date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 / Revision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Confidentiality Level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Internal / Restricted / 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 Standards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IEEE 15288, IEEE 12207, INCOSE SE Handbook v5</w:t>
            </w:r>
          </w:p>
        </w:tc>
      </w:tr>
    </w:tbl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xzr7f2p8j8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Change Record (Revision History Table)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Revision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Reviewed/Approved By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(Date)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(Author)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(Approver)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 Release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Minor editorial updates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Added stakeholder feedback section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20719173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6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Introduction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System Context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Architectural Views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 Logical 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 Process 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 Physical 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 Development 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 Design Decisions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 Compliance and Standards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hp4lyf9sp0rl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6. Appendix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ctseyc7j0yye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7. References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With Modular Monolithic architecture we aim to provide scalability, maintainability, testability. While providing these, our system will have features such as chat, event recommendation, notifications, user management and authentication.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System Context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72163" cy="54673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2163" cy="546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Architectural Views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3.1 Logical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Event Recommendation Module: Recommend an event based on user’s attributes and past events.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Chat Module: Send and receive messages from other users.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Authentication Module: Handles User registration, login to account.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Notifications Module: Send notification to users.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User Management Module: Handles User profile, friend list, event list, take preferences.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3.2 Process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UI Thread - Handles all user interface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Network Thread - API calls and server communication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WebSocket Thread - Real-time chat messages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Database Thread - Local data storage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Background Thread - Heavy processing tasks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Simplified Runtime: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User request (UI Thread)  —&gt; Process tasks (Background Thread) —&gt; Network call (Network Thread) and  Store data (DB Thread) —&gt; Update UI (Back to UI Thread)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3.3 Physical View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Describe hardware deployment and communication links.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3.4 Development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3086100" cy="67532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75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486400" cy="5588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Design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1. Modular Monolithic Architecture</w:t>
      </w:r>
    </w:p>
    <w:p w:rsidR="00000000" w:rsidDel="00000000" w:rsidP="00000000" w:rsidRDefault="00000000" w:rsidRPr="00000000" w14:paraId="0000007B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 chose this architecture because we thought our system size will be medium and our team is 4 people so it will be easier to develop and deploy. In the future if our system becomes big then we could change this architecture with microservices.</w:t>
      </w:r>
    </w:p>
    <w:p w:rsidR="00000000" w:rsidDel="00000000" w:rsidP="00000000" w:rsidRDefault="00000000" w:rsidRPr="00000000" w14:paraId="0000007C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2. Websocket for Chat</w:t>
      </w:r>
    </w:p>
    <w:p w:rsidR="00000000" w:rsidDel="00000000" w:rsidP="00000000" w:rsidRDefault="00000000" w:rsidRPr="00000000" w14:paraId="0000007D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 chose this architecture because we aim for instant message delivery and low latency in chat.</w:t>
      </w:r>
    </w:p>
    <w:p w:rsidR="00000000" w:rsidDel="00000000" w:rsidP="00000000" w:rsidRDefault="00000000" w:rsidRPr="00000000" w14:paraId="0000007E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3. Push Notifications (FCM)</w:t>
      </w:r>
    </w:p>
    <w:p w:rsidR="00000000" w:rsidDel="00000000" w:rsidP="00000000" w:rsidRDefault="00000000" w:rsidRPr="00000000" w14:paraId="0000007F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With that server we would send notifications to users reliable, fast and optimized.</w:t>
      </w:r>
    </w:p>
    <w:p w:rsidR="00000000" w:rsidDel="00000000" w:rsidP="00000000" w:rsidRDefault="00000000" w:rsidRPr="00000000" w14:paraId="00000080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Moreover with this technology we will send without needing an opened app.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Compliance and Standards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 security we will use KVKK and GDPR standards.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hp4lyf9sp0rl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 Appendix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heading=h.ctseyc7j0yye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Arial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suppressAutoHyphens w:val="1"/>
      <w:bidi w:val="0"/>
      <w:spacing w:after="0" w:before="0" w:line="240" w:lineRule="auto"/>
      <w:jc w:val="left"/>
    </w:pPr>
    <w:rPr>
      <w:rFonts w:ascii="Cambria" w:cs="" w:eastAsia="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lef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lef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left="108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1"/>
      <w:bidi w:val="0"/>
      <w:spacing w:after="200" w:before="0" w:line="276" w:lineRule="auto"/>
      <w:jc w:val="left"/>
    </w:pPr>
    <w:rPr>
      <w:rFonts w:ascii="Courier" w:cs="" w:eastAsia="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1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paragraph" w:styleId="Caption11">
    <w:name w:val="caption11"/>
    <w:basedOn w:val="Normal"/>
    <w:next w:val="Normal"/>
    <w:qFormat w:val="1"/>
    <w:pPr>
      <w:spacing w:line="240" w:lineRule="exact"/>
    </w:pPr>
    <w:rPr>
      <w:b w:val="1"/>
      <w:bCs w:val="1"/>
      <w:color w:val="4f81bd"/>
      <w:sz w:val="18"/>
      <w:szCs w:val="18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Mu8QG47E1Bjkzzsc61xTZcEB5Q==">CgMxLjAyD2lkLnN3YjJvcTd4MHBpMjIOaC5kYXppZ2psMm5pZmgyDGgueHpyN2YycDhqODIOaC5ocDRseWY5c3AwcmwyDmguY3RzZXljN2oweXllOAByITFxWHJvNjZvaVFXRnR4bkp1S2NLRmpsRjEzQTczWks0LQ==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