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817BBF"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AE1148</w:t>
                  </w:r>
                </w:p>
              </w:tc>
              <w:tc>
                <w:tcPr>
                  <w:tcW w:w="3160" w:type="dxa"/>
                  <w:tcBorders>
                    <w:top w:val="nil"/>
                    <w:left w:val="nil"/>
                    <w:bottom w:val="nil"/>
                    <w:right w:val="nil"/>
                  </w:tcBorders>
                  <w:shd w:val="clear" w:color="auto" w:fill="auto"/>
                  <w:noWrap/>
                  <w:vAlign w:val="bottom"/>
                  <w:hideMark/>
                </w:tcPr>
                <w:p w14:paraId="77CFE82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AE1149</w:t>
                  </w:r>
                </w:p>
              </w:tc>
              <w:tc>
                <w:tcPr>
                  <w:tcW w:w="3160" w:type="dxa"/>
                  <w:tcBorders>
                    <w:top w:val="nil"/>
                    <w:left w:val="nil"/>
                    <w:bottom w:val="nil"/>
                    <w:right w:val="nil"/>
                  </w:tcBorders>
                  <w:shd w:val="clear" w:color="auto" w:fill="auto"/>
                  <w:noWrap/>
                  <w:vAlign w:val="bottom"/>
                  <w:hideMark/>
                </w:tcPr>
                <w:p w14:paraId="439BB93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AE1150</w:t>
                  </w:r>
                </w:p>
              </w:tc>
              <w:tc>
                <w:tcPr>
                  <w:tcW w:w="3160" w:type="dxa"/>
                  <w:tcBorders>
                    <w:top w:val="nil"/>
                    <w:left w:val="nil"/>
                    <w:bottom w:val="nil"/>
                    <w:right w:val="nil"/>
                  </w:tcBorders>
                  <w:shd w:val="clear" w:color="auto" w:fill="auto"/>
                  <w:noWrap/>
                  <w:vAlign w:val="bottom"/>
                  <w:hideMark/>
                </w:tcPr>
                <w:p w14:paraId="2BEC6E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AE1151</w:t>
                  </w:r>
                </w:p>
              </w:tc>
              <w:tc>
                <w:tcPr>
                  <w:tcW w:w="3160" w:type="dxa"/>
                  <w:tcBorders>
                    <w:top w:val="nil"/>
                    <w:left w:val="nil"/>
                    <w:bottom w:val="nil"/>
                    <w:right w:val="nil"/>
                  </w:tcBorders>
                  <w:shd w:val="clear" w:color="auto" w:fill="auto"/>
                  <w:noWrap/>
                  <w:vAlign w:val="bottom"/>
                  <w:hideMark/>
                </w:tcPr>
                <w:p w14:paraId="25D448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AE1152</w:t>
                  </w:r>
                </w:p>
              </w:tc>
              <w:tc>
                <w:tcPr>
                  <w:tcW w:w="3160" w:type="dxa"/>
                  <w:tcBorders>
                    <w:top w:val="nil"/>
                    <w:left w:val="nil"/>
                    <w:bottom w:val="nil"/>
                    <w:right w:val="nil"/>
                  </w:tcBorders>
                  <w:shd w:val="clear" w:color="auto" w:fill="auto"/>
                  <w:noWrap/>
                  <w:vAlign w:val="bottom"/>
                  <w:hideMark/>
                </w:tcPr>
                <w:p w14:paraId="1A02839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AE1153</w:t>
                  </w:r>
                </w:p>
              </w:tc>
              <w:tc>
                <w:tcPr>
                  <w:tcW w:w="3160" w:type="dxa"/>
                  <w:tcBorders>
                    <w:top w:val="nil"/>
                    <w:left w:val="nil"/>
                    <w:bottom w:val="nil"/>
                    <w:right w:val="nil"/>
                  </w:tcBorders>
                  <w:shd w:val="clear" w:color="auto" w:fill="auto"/>
                  <w:noWrap/>
                  <w:vAlign w:val="bottom"/>
                  <w:hideMark/>
                </w:tcPr>
                <w:p w14:paraId="7FD1391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AE1154</w:t>
                  </w:r>
                </w:p>
              </w:tc>
              <w:tc>
                <w:tcPr>
                  <w:tcW w:w="3160" w:type="dxa"/>
                  <w:tcBorders>
                    <w:top w:val="nil"/>
                    <w:left w:val="nil"/>
                    <w:bottom w:val="nil"/>
                    <w:right w:val="nil"/>
                  </w:tcBorders>
                  <w:shd w:val="clear" w:color="auto" w:fill="auto"/>
                  <w:noWrap/>
                  <w:vAlign w:val="bottom"/>
                  <w:hideMark/>
                </w:tcPr>
                <w:p w14:paraId="55B6D4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AE1155</w:t>
                  </w:r>
                </w:p>
              </w:tc>
              <w:tc>
                <w:tcPr>
                  <w:tcW w:w="3160" w:type="dxa"/>
                  <w:tcBorders>
                    <w:top w:val="nil"/>
                    <w:left w:val="nil"/>
                    <w:bottom w:val="nil"/>
                    <w:right w:val="nil"/>
                  </w:tcBorders>
                  <w:shd w:val="clear" w:color="auto" w:fill="auto"/>
                  <w:noWrap/>
                  <w:vAlign w:val="bottom"/>
                  <w:hideMark/>
                </w:tcPr>
                <w:p w14:paraId="6E1C1D6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AE1156</w:t>
                  </w:r>
                </w:p>
              </w:tc>
              <w:tc>
                <w:tcPr>
                  <w:tcW w:w="3160" w:type="dxa"/>
                  <w:tcBorders>
                    <w:top w:val="nil"/>
                    <w:left w:val="nil"/>
                    <w:bottom w:val="nil"/>
                    <w:right w:val="nil"/>
                  </w:tcBorders>
                  <w:shd w:val="clear" w:color="auto" w:fill="auto"/>
                  <w:noWrap/>
                  <w:vAlign w:val="bottom"/>
                  <w:hideMark/>
                </w:tcPr>
                <w:p w14:paraId="73BE740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AE1157</w:t>
                  </w:r>
                </w:p>
              </w:tc>
              <w:tc>
                <w:tcPr>
                  <w:tcW w:w="3160" w:type="dxa"/>
                  <w:tcBorders>
                    <w:top w:val="nil"/>
                    <w:left w:val="nil"/>
                    <w:bottom w:val="nil"/>
                    <w:right w:val="nil"/>
                  </w:tcBorders>
                  <w:shd w:val="clear" w:color="auto" w:fill="auto"/>
                  <w:noWrap/>
                  <w:vAlign w:val="bottom"/>
                  <w:hideMark/>
                </w:tcPr>
                <w:p w14:paraId="18799E1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AE1158</w:t>
                  </w:r>
                </w:p>
              </w:tc>
              <w:tc>
                <w:tcPr>
                  <w:tcW w:w="3160" w:type="dxa"/>
                  <w:tcBorders>
                    <w:top w:val="nil"/>
                    <w:left w:val="nil"/>
                    <w:bottom w:val="nil"/>
                    <w:right w:val="nil"/>
                  </w:tcBorders>
                  <w:shd w:val="clear" w:color="auto" w:fill="auto"/>
                  <w:noWrap/>
                  <w:vAlign w:val="bottom"/>
                  <w:hideMark/>
                </w:tcPr>
                <w:p w14:paraId="7E746A9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AE1159</w:t>
                  </w:r>
                </w:p>
              </w:tc>
              <w:tc>
                <w:tcPr>
                  <w:tcW w:w="3160" w:type="dxa"/>
                  <w:tcBorders>
                    <w:top w:val="nil"/>
                    <w:left w:val="nil"/>
                    <w:bottom w:val="nil"/>
                    <w:right w:val="nil"/>
                  </w:tcBorders>
                  <w:shd w:val="clear" w:color="auto" w:fill="auto"/>
                  <w:noWrap/>
                  <w:vAlign w:val="bottom"/>
                  <w:hideMark/>
                </w:tcPr>
                <w:p w14:paraId="1EB60E8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AE1160</w:t>
                  </w:r>
                </w:p>
              </w:tc>
              <w:tc>
                <w:tcPr>
                  <w:tcW w:w="3160" w:type="dxa"/>
                  <w:tcBorders>
                    <w:top w:val="nil"/>
                    <w:left w:val="nil"/>
                    <w:bottom w:val="nil"/>
                    <w:right w:val="nil"/>
                  </w:tcBorders>
                  <w:shd w:val="clear" w:color="auto" w:fill="auto"/>
                  <w:noWrap/>
                  <w:vAlign w:val="bottom"/>
                  <w:hideMark/>
                </w:tcPr>
                <w:p w14:paraId="6A4F03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AE1161</w:t>
                  </w:r>
                </w:p>
              </w:tc>
              <w:tc>
                <w:tcPr>
                  <w:tcW w:w="3160" w:type="dxa"/>
                  <w:tcBorders>
                    <w:top w:val="nil"/>
                    <w:left w:val="nil"/>
                    <w:bottom w:val="nil"/>
                    <w:right w:val="nil"/>
                  </w:tcBorders>
                  <w:shd w:val="clear" w:color="auto" w:fill="auto"/>
                  <w:noWrap/>
                  <w:vAlign w:val="bottom"/>
                  <w:hideMark/>
                </w:tcPr>
                <w:p w14:paraId="5DCAE55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AE1162</w:t>
                  </w:r>
                </w:p>
              </w:tc>
              <w:tc>
                <w:tcPr>
                  <w:tcW w:w="3160" w:type="dxa"/>
                  <w:tcBorders>
                    <w:top w:val="nil"/>
                    <w:left w:val="nil"/>
                    <w:bottom w:val="nil"/>
                    <w:right w:val="nil"/>
                  </w:tcBorders>
                  <w:shd w:val="clear" w:color="auto" w:fill="auto"/>
                  <w:noWrap/>
                  <w:vAlign w:val="bottom"/>
                  <w:hideMark/>
                </w:tcPr>
                <w:p w14:paraId="398E431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AE1163</w:t>
                  </w:r>
                </w:p>
              </w:tc>
              <w:tc>
                <w:tcPr>
                  <w:tcW w:w="3160" w:type="dxa"/>
                  <w:tcBorders>
                    <w:top w:val="nil"/>
                    <w:left w:val="nil"/>
                    <w:bottom w:val="nil"/>
                    <w:right w:val="nil"/>
                  </w:tcBorders>
                  <w:shd w:val="clear" w:color="auto" w:fill="auto"/>
                  <w:noWrap/>
                  <w:vAlign w:val="bottom"/>
                  <w:hideMark/>
                </w:tcPr>
                <w:p w14:paraId="47F1403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AE1164</w:t>
                  </w:r>
                </w:p>
              </w:tc>
              <w:tc>
                <w:tcPr>
                  <w:tcW w:w="3160" w:type="dxa"/>
                  <w:tcBorders>
                    <w:top w:val="nil"/>
                    <w:left w:val="nil"/>
                    <w:bottom w:val="nil"/>
                    <w:right w:val="nil"/>
                  </w:tcBorders>
                  <w:shd w:val="clear" w:color="auto" w:fill="auto"/>
                  <w:noWrap/>
                  <w:vAlign w:val="bottom"/>
                  <w:hideMark/>
                </w:tcPr>
                <w:p w14:paraId="62EE43F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AE1165</w:t>
                  </w:r>
                </w:p>
              </w:tc>
              <w:tc>
                <w:tcPr>
                  <w:tcW w:w="3160" w:type="dxa"/>
                  <w:tcBorders>
                    <w:top w:val="nil"/>
                    <w:left w:val="nil"/>
                    <w:bottom w:val="nil"/>
                    <w:right w:val="nil"/>
                  </w:tcBorders>
                  <w:shd w:val="clear" w:color="auto" w:fill="auto"/>
                  <w:noWrap/>
                  <w:vAlign w:val="bottom"/>
                  <w:hideMark/>
                </w:tcPr>
                <w:p w14:paraId="6A52B17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AE1166</w:t>
                  </w:r>
                </w:p>
              </w:tc>
              <w:tc>
                <w:tcPr>
                  <w:tcW w:w="3160" w:type="dxa"/>
                  <w:tcBorders>
                    <w:top w:val="nil"/>
                    <w:left w:val="nil"/>
                    <w:bottom w:val="nil"/>
                    <w:right w:val="nil"/>
                  </w:tcBorders>
                  <w:shd w:val="clear" w:color="auto" w:fill="auto"/>
                  <w:noWrap/>
                  <w:vAlign w:val="bottom"/>
                  <w:hideMark/>
                </w:tcPr>
                <w:p w14:paraId="389F878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AE1167</w:t>
                  </w:r>
                </w:p>
              </w:tc>
              <w:tc>
                <w:tcPr>
                  <w:tcW w:w="3160" w:type="dxa"/>
                  <w:tcBorders>
                    <w:top w:val="nil"/>
                    <w:left w:val="nil"/>
                    <w:bottom w:val="nil"/>
                    <w:right w:val="nil"/>
                  </w:tcBorders>
                  <w:shd w:val="clear" w:color="auto" w:fill="auto"/>
                  <w:noWrap/>
                  <w:vAlign w:val="bottom"/>
                  <w:hideMark/>
                </w:tcPr>
                <w:p w14:paraId="220C9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AE1168</w:t>
                  </w:r>
                </w:p>
              </w:tc>
              <w:tc>
                <w:tcPr>
                  <w:tcW w:w="3160" w:type="dxa"/>
                  <w:tcBorders>
                    <w:top w:val="nil"/>
                    <w:left w:val="nil"/>
                    <w:bottom w:val="nil"/>
                    <w:right w:val="nil"/>
                  </w:tcBorders>
                  <w:shd w:val="clear" w:color="auto" w:fill="auto"/>
                  <w:noWrap/>
                  <w:vAlign w:val="bottom"/>
                  <w:hideMark/>
                </w:tcPr>
                <w:p w14:paraId="068C09A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AE1169</w:t>
                  </w:r>
                </w:p>
              </w:tc>
              <w:tc>
                <w:tcPr>
                  <w:tcW w:w="3160" w:type="dxa"/>
                  <w:tcBorders>
                    <w:top w:val="nil"/>
                    <w:left w:val="nil"/>
                    <w:bottom w:val="nil"/>
                    <w:right w:val="nil"/>
                  </w:tcBorders>
                  <w:shd w:val="clear" w:color="auto" w:fill="auto"/>
                  <w:noWrap/>
                  <w:vAlign w:val="bottom"/>
                  <w:hideMark/>
                </w:tcPr>
                <w:p w14:paraId="0099283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AE1170</w:t>
                  </w:r>
                </w:p>
              </w:tc>
              <w:tc>
                <w:tcPr>
                  <w:tcW w:w="3160" w:type="dxa"/>
                  <w:tcBorders>
                    <w:top w:val="nil"/>
                    <w:left w:val="nil"/>
                    <w:bottom w:val="nil"/>
                    <w:right w:val="nil"/>
                  </w:tcBorders>
                  <w:shd w:val="clear" w:color="auto" w:fill="auto"/>
                  <w:noWrap/>
                  <w:vAlign w:val="bottom"/>
                  <w:hideMark/>
                </w:tcPr>
                <w:p w14:paraId="1A8EBA5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AE1171</w:t>
                  </w:r>
                </w:p>
              </w:tc>
              <w:tc>
                <w:tcPr>
                  <w:tcW w:w="3160" w:type="dxa"/>
                  <w:tcBorders>
                    <w:top w:val="nil"/>
                    <w:left w:val="nil"/>
                    <w:bottom w:val="nil"/>
                    <w:right w:val="nil"/>
                  </w:tcBorders>
                  <w:shd w:val="clear" w:color="auto" w:fill="auto"/>
                  <w:noWrap/>
                  <w:vAlign w:val="bottom"/>
                  <w:hideMark/>
                </w:tcPr>
                <w:p w14:paraId="13E3BD9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AE1172</w:t>
                  </w:r>
                </w:p>
              </w:tc>
              <w:tc>
                <w:tcPr>
                  <w:tcW w:w="3160" w:type="dxa"/>
                  <w:tcBorders>
                    <w:top w:val="nil"/>
                    <w:left w:val="nil"/>
                    <w:bottom w:val="nil"/>
                    <w:right w:val="nil"/>
                  </w:tcBorders>
                  <w:shd w:val="clear" w:color="auto" w:fill="auto"/>
                  <w:noWrap/>
                  <w:vAlign w:val="bottom"/>
                  <w:hideMark/>
                </w:tcPr>
                <w:p w14:paraId="4929D7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817BBF"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AE1173</w:t>
                  </w:r>
                </w:p>
              </w:tc>
              <w:tc>
                <w:tcPr>
                  <w:tcW w:w="3160" w:type="dxa"/>
                  <w:tcBorders>
                    <w:top w:val="nil"/>
                    <w:left w:val="nil"/>
                    <w:bottom w:val="nil"/>
                    <w:right w:val="nil"/>
                  </w:tcBorders>
                  <w:shd w:val="clear" w:color="auto" w:fill="auto"/>
                  <w:noWrap/>
                  <w:vAlign w:val="bottom"/>
                  <w:hideMark/>
                </w:tcPr>
                <w:p w14:paraId="7E24DCC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AE1174</w:t>
                  </w:r>
                </w:p>
              </w:tc>
              <w:tc>
                <w:tcPr>
                  <w:tcW w:w="3160" w:type="dxa"/>
                  <w:tcBorders>
                    <w:top w:val="nil"/>
                    <w:left w:val="nil"/>
                    <w:bottom w:val="nil"/>
                    <w:right w:val="nil"/>
                  </w:tcBorders>
                  <w:shd w:val="clear" w:color="auto" w:fill="auto"/>
                  <w:noWrap/>
                  <w:vAlign w:val="bottom"/>
                  <w:hideMark/>
                </w:tcPr>
                <w:p w14:paraId="2803419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AE1175</w:t>
                  </w:r>
                </w:p>
              </w:tc>
              <w:tc>
                <w:tcPr>
                  <w:tcW w:w="3160" w:type="dxa"/>
                  <w:tcBorders>
                    <w:top w:val="nil"/>
                    <w:left w:val="nil"/>
                    <w:bottom w:val="nil"/>
                    <w:right w:val="nil"/>
                  </w:tcBorders>
                  <w:shd w:val="clear" w:color="auto" w:fill="auto"/>
                  <w:noWrap/>
                  <w:vAlign w:val="bottom"/>
                  <w:hideMark/>
                </w:tcPr>
                <w:p w14:paraId="4E52BEF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AE1176</w:t>
                  </w:r>
                </w:p>
              </w:tc>
              <w:tc>
                <w:tcPr>
                  <w:tcW w:w="3160" w:type="dxa"/>
                  <w:tcBorders>
                    <w:top w:val="nil"/>
                    <w:left w:val="nil"/>
                    <w:bottom w:val="nil"/>
                    <w:right w:val="nil"/>
                  </w:tcBorders>
                  <w:shd w:val="clear" w:color="auto" w:fill="auto"/>
                  <w:noWrap/>
                  <w:vAlign w:val="bottom"/>
                  <w:hideMark/>
                </w:tcPr>
                <w:p w14:paraId="5C150DB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AE1177</w:t>
                  </w:r>
                </w:p>
              </w:tc>
              <w:tc>
                <w:tcPr>
                  <w:tcW w:w="3160" w:type="dxa"/>
                  <w:tcBorders>
                    <w:top w:val="nil"/>
                    <w:left w:val="nil"/>
                    <w:bottom w:val="nil"/>
                    <w:right w:val="nil"/>
                  </w:tcBorders>
                  <w:shd w:val="clear" w:color="auto" w:fill="auto"/>
                  <w:noWrap/>
                  <w:vAlign w:val="bottom"/>
                  <w:hideMark/>
                </w:tcPr>
                <w:p w14:paraId="3976573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AE1178</w:t>
                  </w:r>
                </w:p>
              </w:tc>
              <w:tc>
                <w:tcPr>
                  <w:tcW w:w="3160" w:type="dxa"/>
                  <w:tcBorders>
                    <w:top w:val="nil"/>
                    <w:left w:val="nil"/>
                    <w:bottom w:val="nil"/>
                    <w:right w:val="nil"/>
                  </w:tcBorders>
                  <w:shd w:val="clear" w:color="auto" w:fill="auto"/>
                  <w:noWrap/>
                  <w:vAlign w:val="bottom"/>
                  <w:hideMark/>
                </w:tcPr>
                <w:p w14:paraId="32FB0C0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AE1179</w:t>
                  </w:r>
                </w:p>
              </w:tc>
              <w:tc>
                <w:tcPr>
                  <w:tcW w:w="3160" w:type="dxa"/>
                  <w:tcBorders>
                    <w:top w:val="nil"/>
                    <w:left w:val="nil"/>
                    <w:bottom w:val="nil"/>
                    <w:right w:val="nil"/>
                  </w:tcBorders>
                  <w:shd w:val="clear" w:color="auto" w:fill="auto"/>
                  <w:noWrap/>
                  <w:vAlign w:val="bottom"/>
                  <w:hideMark/>
                </w:tcPr>
                <w:p w14:paraId="44D6F7D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AE1180</w:t>
                  </w:r>
                </w:p>
              </w:tc>
              <w:tc>
                <w:tcPr>
                  <w:tcW w:w="3160" w:type="dxa"/>
                  <w:tcBorders>
                    <w:top w:val="nil"/>
                    <w:left w:val="nil"/>
                    <w:bottom w:val="nil"/>
                    <w:right w:val="nil"/>
                  </w:tcBorders>
                  <w:shd w:val="clear" w:color="auto" w:fill="auto"/>
                  <w:noWrap/>
                  <w:vAlign w:val="bottom"/>
                  <w:hideMark/>
                </w:tcPr>
                <w:p w14:paraId="121E66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Fonts w:hint="cs"/>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Fonts w:hint="cs"/>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4C01166E" w14:textId="2EA4C408" w:rsidR="000B2672" w:rsidRDefault="006F7B08" w:rsidP="005443C1">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02013729" w14:textId="00B97CF6" w:rsidR="00983565" w:rsidRPr="00E34C0A" w:rsidRDefault="00983565" w:rsidP="005443C1">
      <w:pPr>
        <w:pStyle w:val="NoSpacing"/>
      </w:pPr>
      <w:r>
        <w:rPr>
          <w:noProof/>
        </w:rPr>
        <w:drawing>
          <wp:inline distT="0" distB="0" distL="0" distR="0" wp14:anchorId="66FB86D0" wp14:editId="5A6FC22A">
            <wp:extent cx="31718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1943100"/>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77777777" w:rsidR="00A40689" w:rsidRDefault="00A40689" w:rsidP="005443C1">
      <w:pPr>
        <w:pStyle w:val="NoSpacing"/>
        <w:rPr>
          <w:rFonts w:ascii="Helvetica" w:hAnsi="Helvetica" w:cs="Helvetica"/>
          <w:color w:val="333333"/>
          <w:sz w:val="21"/>
          <w:szCs w:val="21"/>
          <w:shd w:val="clear" w:color="auto" w:fill="FFFFFF"/>
        </w:rPr>
      </w:pPr>
    </w:p>
    <w:p w14:paraId="3FADC265" w14:textId="77777777" w:rsidR="00A40689" w:rsidRDefault="00A40689" w:rsidP="00A40689">
      <w:pPr>
        <w:pStyle w:val="NoSpacing"/>
      </w:pPr>
      <w:r w:rsidRPr="00A40689">
        <w:rPr>
          <w:u w:val="single"/>
        </w:rPr>
        <w:t>Genes differentially expressed with threshold &lt; 0.01</w:t>
      </w:r>
      <w:r>
        <w:t>:</w:t>
      </w:r>
    </w:p>
    <w:p w14:paraId="1F0DCB98" w14:textId="77777777" w:rsidR="00670157" w:rsidRDefault="00670157" w:rsidP="005443C1">
      <w:pPr>
        <w:pStyle w:val="NoSpacing"/>
      </w:pPr>
    </w:p>
    <w:p w14:paraId="6F483A11" w14:textId="77777777" w:rsidR="00670157" w:rsidRDefault="00670157" w:rsidP="005443C1">
      <w:pPr>
        <w:pStyle w:val="NoSpacing"/>
      </w:pPr>
      <w:r w:rsidRPr="001437B1">
        <w:rPr>
          <w:u w:val="single"/>
        </w:rPr>
        <w:t>Log2fold change</w:t>
      </w:r>
      <w:r>
        <w:t>:</w:t>
      </w:r>
    </w:p>
    <w:p w14:paraId="40E892B1" w14:textId="161B58CA"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There are </w:t>
      </w:r>
      <w:r w:rsidR="003039A6">
        <w:rPr>
          <w:rFonts w:ascii="Helvetica" w:hAnsi="Helvetica" w:cs="Helvetica"/>
          <w:color w:val="333333"/>
          <w:sz w:val="21"/>
          <w:szCs w:val="21"/>
        </w:rPr>
        <w:t>764</w:t>
      </w:r>
      <w:r>
        <w:rPr>
          <w:rFonts w:ascii="Helvetica" w:hAnsi="Helvetica" w:cs="Helvetica"/>
          <w:color w:val="333333"/>
          <w:sz w:val="21"/>
          <w:szCs w:val="21"/>
        </w:rPr>
        <w:t xml:space="preserve"> with log fold change above 2</w:t>
      </w:r>
    </w:p>
    <w:p w14:paraId="35505529" w14:textId="708BC7C5"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There are </w:t>
      </w:r>
      <w:r w:rsidR="005038AF">
        <w:rPr>
          <w:rFonts w:ascii="Helvetica" w:hAnsi="Helvetica" w:cs="Helvetica"/>
          <w:color w:val="333333"/>
          <w:sz w:val="21"/>
          <w:szCs w:val="21"/>
        </w:rPr>
        <w:t>618</w:t>
      </w:r>
      <w:r>
        <w:rPr>
          <w:rFonts w:ascii="Helvetica" w:hAnsi="Helvetica" w:cs="Helvetica"/>
          <w:color w:val="333333"/>
          <w:sz w:val="21"/>
          <w:szCs w:val="21"/>
        </w:rPr>
        <w:t xml:space="preserve"> with log fold change below -2</w:t>
      </w:r>
    </w:p>
    <w:p w14:paraId="65DFDCF6" w14:textId="77777777"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4C43487E" w:rsidR="006471C6" w:rsidRDefault="00216AC7" w:rsidP="005443C1">
      <w:pPr>
        <w:pStyle w:val="NoSpacing"/>
      </w:pPr>
      <w:r>
        <w:rPr>
          <w:noProof/>
        </w:rPr>
        <w:drawing>
          <wp:inline distT="0" distB="0" distL="0" distR="0" wp14:anchorId="4C40ECE7" wp14:editId="2CED7E80">
            <wp:extent cx="5943600" cy="4076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6065"/>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bookmarkStart w:id="0" w:name="_GoBack"/>
      <w:bookmarkEnd w:id="0"/>
      <w:r w:rsidR="00352883">
        <w:t>.</w:t>
      </w:r>
    </w:p>
    <w:p w14:paraId="34E4D2EC" w14:textId="7FBA186A" w:rsidR="00876ADE" w:rsidRDefault="00311EBC" w:rsidP="005443C1">
      <w:pPr>
        <w:pStyle w:val="NoSpacing"/>
      </w:pPr>
      <w:r>
        <w:t>MA and volcano plots:</w:t>
      </w:r>
    </w:p>
    <w:p w14:paraId="21479B76" w14:textId="79FFA640" w:rsidR="00311EBC" w:rsidRDefault="00B94B60" w:rsidP="005443C1">
      <w:pPr>
        <w:pStyle w:val="NoSpacing"/>
      </w:pPr>
      <w:r>
        <w:rPr>
          <w:noProof/>
        </w:rPr>
        <w:lastRenderedPageBreak/>
        <w:drawing>
          <wp:inline distT="0" distB="0" distL="0" distR="0" wp14:anchorId="49AB185C" wp14:editId="1BED4F15">
            <wp:extent cx="5943600" cy="3996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6055"/>
                    </a:xfrm>
                    <a:prstGeom prst="rect">
                      <a:avLst/>
                    </a:prstGeom>
                  </pic:spPr>
                </pic:pic>
              </a:graphicData>
            </a:graphic>
          </wp:inline>
        </w:drawing>
      </w:r>
    </w:p>
    <w:p w14:paraId="5F99EC58" w14:textId="7ED69FD9" w:rsidR="00B94B60" w:rsidRDefault="00B94B60" w:rsidP="005443C1">
      <w:pPr>
        <w:pStyle w:val="NoSpacing"/>
      </w:pPr>
      <w:r>
        <w:rPr>
          <w:noProof/>
        </w:rPr>
        <w:drawing>
          <wp:inline distT="0" distB="0" distL="0" distR="0" wp14:anchorId="0ABF4C75" wp14:editId="47C40039">
            <wp:extent cx="5943600" cy="3729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9990"/>
                    </a:xfrm>
                    <a:prstGeom prst="rect">
                      <a:avLst/>
                    </a:prstGeom>
                  </pic:spPr>
                </pic:pic>
              </a:graphicData>
            </a:graphic>
          </wp:inline>
        </w:drawing>
      </w: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1CE16F59" w14:textId="06BED2BC" w:rsidR="00C3658B" w:rsidRDefault="00C3658B" w:rsidP="00C3658B">
      <w:pPr>
        <w:pStyle w:val="ListParagraph"/>
        <w:numPr>
          <w:ilvl w:val="0"/>
          <w:numId w:val="9"/>
        </w:numPr>
        <w:jc w:val="both"/>
        <w:rPr>
          <w:highlight w:val="yellow"/>
        </w:rPr>
      </w:pPr>
      <w:r w:rsidRPr="00C3658B">
        <w:rPr>
          <w:highlight w:val="yellow"/>
        </w:rPr>
        <w:t>The cause for deletion events</w:t>
      </w:r>
    </w:p>
    <w:p w14:paraId="1AEE58F9" w14:textId="71EC2433" w:rsidR="00BD4CF4" w:rsidRDefault="00D17291" w:rsidP="00BD4CF4">
      <w:pPr>
        <w:pStyle w:val="ListParagraph"/>
        <w:numPr>
          <w:ilvl w:val="0"/>
          <w:numId w:val="9"/>
        </w:numPr>
        <w:jc w:val="both"/>
        <w:rPr>
          <w:highlight w:val="yellow"/>
        </w:rPr>
      </w:pPr>
      <w:r>
        <w:rPr>
          <w:highlight w:val="yellow"/>
        </w:rPr>
        <w:t xml:space="preserve">The effect of deletion events on he phenotype </w:t>
      </w:r>
    </w:p>
    <w:p w14:paraId="24767D2A" w14:textId="5B53208D" w:rsidR="00FD4C93" w:rsidRPr="002B3C05" w:rsidRDefault="002B3C05" w:rsidP="002B3C05">
      <w:pPr>
        <w:pStyle w:val="ListParagraph"/>
        <w:numPr>
          <w:ilvl w:val="0"/>
          <w:numId w:val="8"/>
        </w:numPr>
        <w:jc w:val="both"/>
        <w:rPr>
          <w:highlight w:val="yellow"/>
        </w:rPr>
      </w:pPr>
      <w:r w:rsidRPr="002B3C05">
        <w:rPr>
          <w:highlight w:val="yellow"/>
        </w:rPr>
        <w:t xml:space="preserve">A deletion in TMC1 could either be a random phenomenon </w:t>
      </w:r>
      <w:r>
        <w:rPr>
          <w:highlight w:val="yellow"/>
        </w:rPr>
        <w:t>(like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3276034B" w:rsidR="00BD4CF4" w:rsidRPr="00BD4CF4" w:rsidRDefault="00BD4CF4" w:rsidP="002B3C05">
      <w:pPr>
        <w:pStyle w:val="ListParagraph"/>
        <w:numPr>
          <w:ilvl w:val="0"/>
          <w:numId w:val="8"/>
        </w:numPr>
        <w:jc w:val="both"/>
      </w:pPr>
      <w:r w:rsidRPr="002B3C05">
        <w:rPr>
          <w:highlight w:val="yellow"/>
        </w:rPr>
        <w:lastRenderedPageBreak/>
        <w:t>A single base deletion mutation will either cause a missense or a nonsense mutation which replace</w:t>
      </w:r>
      <w:r w:rsidR="00212948" w:rsidRPr="002B3C05">
        <w:rPr>
          <w:highlight w:val="yellow"/>
        </w:rPr>
        <w:t>s</w:t>
      </w:r>
      <w:r w:rsidRPr="002B3C05">
        <w:rPr>
          <w:highlight w:val="yellow"/>
        </w:rPr>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Fonts w:hint="cs"/>
          <w:rtl/>
        </w:rPr>
      </w:pPr>
      <w:r w:rsidRPr="000717C2">
        <w:rPr>
          <w:highlight w:val="yellow"/>
        </w:rPr>
        <w:t xml:space="preserve">There are algorithmic solutions such as the </w:t>
      </w:r>
      <w:hyperlink r:id="rId22" w:history="1">
        <w:r w:rsidRPr="000717C2">
          <w:rPr>
            <w:rStyle w:val="Hyperlink"/>
            <w:highlight w:val="yellow"/>
          </w:rPr>
          <w:t>Trinity Transcript Quantification</w:t>
        </w:r>
      </w:hyperlink>
      <w:r w:rsidRPr="000717C2">
        <w:rPr>
          <w:highlight w:val="yellow"/>
        </w:rPr>
        <w:t xml:space="preserve"> for </w:t>
      </w:r>
      <w:proofErr w:type="spellStart"/>
      <w:r w:rsidRPr="000717C2">
        <w:rPr>
          <w:highlight w:val="yellow"/>
        </w:rPr>
        <w:t>RNASeq</w:t>
      </w:r>
      <w:proofErr w:type="spellEnd"/>
      <w:r w:rsidRPr="000717C2">
        <w:rPr>
          <w:highlight w:val="yellow"/>
        </w:rPr>
        <w:t>.</w:t>
      </w:r>
      <w:r w:rsidR="009D4709" w:rsidRPr="000717C2">
        <w:rPr>
          <w:highlight w:val="yellow"/>
        </w:rPr>
        <w:t xml:space="preserve"> </w:t>
      </w:r>
      <w:proofErr w:type="gramStart"/>
      <w:r w:rsidR="009D4709" w:rsidRPr="000717C2">
        <w:rPr>
          <w:highlight w:val="yellow"/>
        </w:rPr>
        <w:t>Also</w:t>
      </w:r>
      <w:proofErr w:type="gramEnd"/>
      <w:r w:rsidR="009D4709" w:rsidRPr="000717C2">
        <w:rPr>
          <w:highlight w:val="yellow"/>
        </w:rPr>
        <w:t xml:space="preserve"> there are solutions such as </w:t>
      </w:r>
      <w:hyperlink r:id="rId23" w:history="1">
        <w:r w:rsidR="009D4709" w:rsidRPr="000717C2">
          <w:rPr>
            <w:rStyle w:val="Hyperlink"/>
            <w:highlight w:val="yellow"/>
          </w:rPr>
          <w:t>Gene Meter</w:t>
        </w:r>
      </w:hyperlink>
      <w:r w:rsidR="009D4709" w:rsidRPr="000717C2">
        <w:rPr>
          <w:highlight w:val="yellow"/>
        </w:rPr>
        <w:t xml:space="preserve"> for micro arrays.</w:t>
      </w:r>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F41"/>
    <w:rsid w:val="003F5892"/>
    <w:rsid w:val="00402DCE"/>
    <w:rsid w:val="00420E8F"/>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C02AC"/>
    <w:rsid w:val="005F2400"/>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hyperlink" Target="https://www.ncbi.nlm.nih.gov/pmc/articles/PMC559541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rinityrnaseq/trinityrnaseq/wiki/Trinity-Transcript-Qua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5601</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78</cp:revision>
  <dcterms:created xsi:type="dcterms:W3CDTF">2018-12-15T14:48:00Z</dcterms:created>
  <dcterms:modified xsi:type="dcterms:W3CDTF">2018-12-29T09:05:00Z</dcterms:modified>
</cp:coreProperties>
</file>