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rPr>
          <w:trHeight w:val="90" w:hRule="exact"/>
        </w:trPr>
        <w:tc>
          <w:tcPr>
            <w:tcW w:type="dxa" w:w="2400"/>
            <w:shd w:fill="D8CBA0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/>
        </w:tc>
        <w:tc>
          <w:tcPr>
            <w:tcW w:type="dxa" w:w="2400"/>
            <w:shd w:fill="C3EEE2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/>
        </w:tc>
        <w:tc>
          <w:tcPr>
            <w:tcW w:type="dxa" w:w="2400"/>
            <w:shd w:fill="E85D04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/>
        </w:tc>
        <w:tc>
          <w:tcPr>
            <w:tcW w:type="dxa" w:w="2400"/>
            <w:shd w:fill="5C4F3C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/>
        </w:tc>
      </w:tr>
    </w:tbl>
    <w:p>
      <w:pPr>
        <w:spacing w:after="0" w:before="260"/>
      </w:pPr>
    </w:p>
    <w:p>
      <w:pPr>
        <w:spacing w:after="0" w:before="120"/>
        <w:jc w:val="center"/>
      </w:pPr>
      <w:r>
        <w:drawing>
          <wp:inline distT="0" distB="0" distL="0" distR="0">
            <wp:extent cx="2857500" cy="1914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32410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2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5C4F3C"/>
          <w:sz w:val="64"/>
          <w:szCs w:val="64"/>
        </w:rPr>
        <w:t xml:space="preserve">INGURA</w:t>
      </w:r>
    </w:p>
    <w:p>
      <w:pPr>
        <w:spacing w:after="260" w:before="100"/>
        <w:jc w:val="center"/>
      </w:pPr>
      <w:r>
        <w:rPr>
          <w:rFonts w:ascii="Calibri" w:cs="Calibri" w:eastAsia="Calibri" w:hAnsi="Calibri"/>
          <w:i/>
          <w:iCs/>
          <w:color w:val="0B8A6B"/>
          <w:sz w:val="22"/>
          <w:szCs w:val="22"/>
        </w:rPr>
        <w:t xml:space="preserve">Ingurumen estrategiak eta ekintzak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E85D04"/>
          <w:sz w:val="40"/>
          <w:szCs w:val="40"/>
        </w:rPr>
        <w:t xml:space="preserve">CATÁLOGO DE SERVICIOS</w:t>
      </w:r>
    </w:p>
    <w:p>
      <w:pPr>
        <w:spacing w:after="40" w:before="160"/>
        <w:jc w:val="center"/>
      </w:pPr>
      <w:r>
        <w:rPr>
          <w:rFonts w:ascii="Calibri" w:cs="Calibri" w:eastAsia="Calibri" w:hAnsi="Calibri"/>
          <w:i/>
          <w:iCs/>
          <w:color w:val="5C4F3C"/>
          <w:sz w:val="24"/>
          <w:szCs w:val="24"/>
        </w:rPr>
        <w:t xml:space="preserve">Sensibilización ambiental que su ciudadanía ve, toca y recuerda</w:t>
      </w:r>
    </w:p>
    <w:p>
      <w:pPr>
        <w:spacing w:after="700"/>
        <w:jc w:val="center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Campañas de educación y sensibilización ambiental para ayuntamientos, mancomunidades e instituciones vascas · en euskera y castellano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E6E6E"/>
          <w:sz w:val="18"/>
          <w:szCs w:val="18"/>
        </w:rPr>
        <w:t xml:space="preserve">Palatueta bidea 25C · 48600 Sopela (Bizkaia)</w:t>
      </w:r>
    </w:p>
    <w:p>
      <w:pPr>
        <w:jc w:val="center"/>
      </w:pPr>
      <w:r>
        <w:rPr>
          <w:rFonts w:ascii="Calibri" w:cs="Calibri" w:eastAsia="Calibri" w:hAnsi="Calibri"/>
          <w:color w:val="6E6E6E"/>
          <w:sz w:val="18"/>
          <w:szCs w:val="18"/>
        </w:rPr>
        <w:t xml:space="preserve">CIF: J098128850</w:t>
      </w:r>
    </w:p>
    <w:p>
      <w:r>
        <w:br w:type="page"/>
      </w:r>
    </w:p>
    <w:p>
      <w:pPr>
        <w:sectPr>
          <w:pgSz w:w="11906" w:h="16838" w:orient="portrait"/>
          <w:pgMar w:top="1000" w:right="1100" w:bottom="1000" w:left="11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E85D04" w:sz="8" w:space="6"/>
        </w:pBdr>
        <w:spacing w:after="180" w:before="440"/>
      </w:pPr>
      <w:r>
        <w:rPr>
          <w:rFonts w:ascii="Calibri" w:cs="Calibri" w:eastAsia="Calibri" w:hAnsi="Calibri"/>
          <w:b/>
          <w:bCs/>
          <w:color w:val="E85D04"/>
          <w:sz w:val="30"/>
          <w:szCs w:val="30"/>
        </w:rPr>
        <w:t xml:space="preserve">Quiénes somos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INGURA es una empresa vasca especializada en el diseño, producción y dinamización de campañas de sensibilización, educación y estrategia ambiental dirigidas a ayuntamientos, mancomunidades y otras instituciones públicas de la Comunidad Autónoma del País Vasco.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Trabajamos junto a los equipos técnicos y políticos municipales para acercar a la ciudadanía —desde la infancia hasta el tejido comercial y hostelero— la realidad del cambio climático, la gestión responsable de los residuos y los Objetivos de Desarrollo Sostenible, con contenidos y materiales elaborados en euskera y castellano.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Nuestro equipo combina la dinamización pedagógica con recursos técnicos propios —módulos expositivos, maquinaria de extrusión e inyección de plástico, compostadoras didácticas, entre otros— para convertir la sensibilización ambiental en una experiencia práctica, cercana y memorable para cada participante.</w:t>
      </w:r>
    </w:p>
    <w:p>
      <w:pPr>
        <w:pStyle w:val="Heading1"/>
        <w:pBdr>
          <w:bottom w:val="single" w:color="E85D04" w:sz="8" w:space="6"/>
        </w:pBdr>
        <w:spacing w:after="180" w:before="440"/>
      </w:pPr>
      <w:r>
        <w:rPr>
          <w:rFonts w:ascii="Calibri" w:cs="Calibri" w:eastAsia="Calibri" w:hAnsi="Calibri"/>
          <w:b/>
          <w:bCs/>
          <w:color w:val="E85D04"/>
          <w:sz w:val="30"/>
          <w:szCs w:val="30"/>
        </w:rPr>
        <w:t xml:space="preserve">Resultados que avalan nuestro trabajo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Desde 2022 diseñamos y ejecutamos campañas de sensibilización ambiental para instituciones vascas. Estos son algunos datos reales de nuestro trabajo de campo: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5C4F3C"/>
          <w:sz w:val="21"/>
          <w:szCs w:val="21"/>
        </w:rPr>
        <w:t xml:space="preserve">Alta afluencia incluso con mal tiempo.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más de 330 personas se acercaron a nuestro módulo expositivo a lo largo de una sola semana de campaña, a pesar de una climatología adversa.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5C4F3C"/>
          <w:sz w:val="21"/>
          <w:szCs w:val="21"/>
        </w:rPr>
        <w:t xml:space="preserve">Fidelización del público.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buena parte de quienes participan en una primera sesión repiten en convocatorias posteriores, señal de que el formato genera interés real y no solo asistencia puntual.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5C4F3C"/>
          <w:sz w:val="21"/>
          <w:szCs w:val="21"/>
        </w:rPr>
        <w:t xml:space="preserve">Difusión boca a boca.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la mayoría de la ciudadanía llega a nuestras actividades recomendada por otras personas que ya han participado.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5C4F3C"/>
          <w:sz w:val="21"/>
          <w:szCs w:val="21"/>
        </w:rPr>
        <w:t xml:space="preserve">Valoración institucional muy positiva.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nuestras campañas reciben valoraciones consistentemente positivas por parte de las instituciones contratantes y del público participante, superando en varios casos las expectativas iniciales.</w:t>
      </w:r>
    </w:p>
    <w:p>
      <w:pPr>
        <w:spacing w:after="0" w:before="120"/>
        <w:jc w:val="center"/>
      </w:pPr>
      <w:r>
        <w:drawing>
          <wp:inline distT="0" distB="0" distL="0" distR="0">
            <wp:extent cx="3048000" cy="203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Calibri" w:cs="Calibri" w:eastAsia="Calibri" w:hAnsi="Calibri"/>
          <w:i/>
          <w:iCs/>
          <w:color w:val="6E6E6E"/>
          <w:sz w:val="17"/>
          <w:szCs w:val="17"/>
        </w:rPr>
        <w:t xml:space="preserve">Nuestro equipo explicando in situ la gestión de residuos a vecinos y vecinas.</w:t>
      </w:r>
    </w:p>
    <w:p>
      <w:pPr>
        <w:pStyle w:val="Heading1"/>
        <w:pBdr>
          <w:bottom w:val="single" w:color="E85D04" w:sz="8" w:space="6"/>
        </w:pBdr>
        <w:spacing w:after="180" w:before="440"/>
      </w:pPr>
      <w:r>
        <w:rPr>
          <w:rFonts w:ascii="Calibri" w:cs="Calibri" w:eastAsia="Calibri" w:hAnsi="Calibri"/>
          <w:b/>
          <w:bCs/>
          <w:color w:val="E85D04"/>
          <w:sz w:val="30"/>
          <w:szCs w:val="30"/>
        </w:rPr>
        <w:t xml:space="preserve">Por qué trabajar con nosotros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5C4F3C"/>
          <w:sz w:val="21"/>
          <w:szCs w:val="21"/>
        </w:rPr>
        <w:t xml:space="preserve">Experiencia con el sector público local.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diseñamos y ejecutamos campañas de sensibilización ambiental para administraciones locales vascas desde 2022.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5C4F3C"/>
          <w:sz w:val="21"/>
          <w:szCs w:val="21"/>
        </w:rPr>
        <w:t xml:space="preserve">Proyectos llave en mano.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nos encargamos del diseño, la producción de materiales, la dinamización de las sesiones y la devolución de resultados a la institución: usted solo tiene que decir sí.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5C4F3C"/>
          <w:sz w:val="21"/>
          <w:szCs w:val="21"/>
        </w:rPr>
        <w:t xml:space="preserve">Materiales bilingües.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todos los contenidos y la atención directa a la ciudadanía se ofrecen en euskera y castellano, priorizando el euskera.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5C4F3C"/>
          <w:sz w:val="21"/>
          <w:szCs w:val="21"/>
        </w:rPr>
        <w:t xml:space="preserve">Adaptación al territorio.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cada campaña se construye con los datos, recursos y realidad propios de cada municipio: nada de propuestas de plantilla.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5C4F3C"/>
          <w:sz w:val="21"/>
          <w:szCs w:val="21"/>
        </w:rPr>
        <w:t xml:space="preserve">Alineación institucional.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nuestras líneas de servicio conectan de forma natural con los Objetivos de Desarrollo Sostenible y con las convocatorias de subvención del Gobierno Vasco e Ihobe, facilitando la justificación técnica de la contratación.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5C4F3C"/>
          <w:sz w:val="21"/>
          <w:szCs w:val="21"/>
        </w:rPr>
        <w:t xml:space="preserve">Equipamiento técnico propio.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módulos expositivos, maquinaria de reciclaje, compostadoras didácticas y materiales de demostración propios, listos para desplegar sin curva de aprendizaje.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5C4F3C"/>
          <w:sz w:val="21"/>
          <w:szCs w:val="21"/>
        </w:rPr>
        <w:t xml:space="preserve">Equipo especializado.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dinamizadores y dinamizadoras con experiencia en público infantil, familiar, escolar y comercial.</w:t>
      </w:r>
    </w:p>
    <w:p>
      <w:pPr>
        <w:pStyle w:val="Heading1"/>
        <w:pBdr>
          <w:bottom w:val="single" w:color="E85D04" w:sz="8" w:space="6"/>
        </w:pBdr>
        <w:spacing w:after="180" w:before="440"/>
      </w:pPr>
      <w:r>
        <w:rPr>
          <w:rFonts w:ascii="Calibri" w:cs="Calibri" w:eastAsia="Calibri" w:hAnsi="Calibri"/>
          <w:b/>
          <w:bCs/>
          <w:color w:val="E85D04"/>
          <w:sz w:val="30"/>
          <w:szCs w:val="30"/>
        </w:rPr>
        <w:t xml:space="preserve">Líneas de servicio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Siete líneas de servicio complementarias, contratables por separado o combinadas en una estrategia integral adaptada a su institución.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700"/>
        <w:gridCol w:w="3900"/>
      </w:tblGrid>
      <w:tr>
        <w:trPr>
          <w:tblHeader/>
        </w:trPr>
        <w:tc>
          <w:tcPr>
            <w:tcW w:type="dxa" w:w="700"/>
            <w:shd w:fill="5C4F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4700"/>
            <w:shd w:fill="5C4F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3900"/>
            <w:shd w:fill="5C4F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 una frase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1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Estrategias municipales de concienciación ambiental</w:t>
            </w:r>
          </w:p>
        </w:tc>
        <w:tc>
          <w:tcPr>
            <w:tcW w:type="dxa" w:w="3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Diseño integral: de la calle a los centros educativos</w:t>
            </w:r>
          </w:p>
        </w:tc>
      </w:tr>
      <w:tr>
        <w:tc>
          <w:tcPr>
            <w:tcW w:type="dxa" w:w="700"/>
            <w:shd w:fill="FBF9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2</w:t>
            </w:r>
          </w:p>
        </w:tc>
        <w:tc>
          <w:tcPr>
            <w:tcW w:type="dxa" w:w="4700"/>
            <w:shd w:fill="FBF9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Campañas sobre cambio climático</w:t>
            </w:r>
          </w:p>
        </w:tc>
        <w:tc>
          <w:tcPr>
            <w:tcW w:type="dxa" w:w="3900"/>
            <w:shd w:fill="FBF9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Módulo expositivo + charlas escolares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3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Talleres temáticos de residuos y economía circular</w:t>
            </w:r>
          </w:p>
        </w:tc>
        <w:tc>
          <w:tcPr>
            <w:tcW w:type="dxa" w:w="3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Aceite, papel, plástico, orgánico, textil, cocina, juegos</w:t>
            </w:r>
          </w:p>
        </w:tc>
      </w:tr>
      <w:tr>
        <w:tc>
          <w:tcPr>
            <w:tcW w:type="dxa" w:w="700"/>
            <w:shd w:fill="FBF9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4</w:t>
            </w:r>
          </w:p>
        </w:tc>
        <w:tc>
          <w:tcPr>
            <w:tcW w:type="dxa" w:w="4700"/>
            <w:shd w:fill="FBF9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Programas educativos en centros e institutos</w:t>
            </w:r>
          </w:p>
        </w:tc>
        <w:tc>
          <w:tcPr>
            <w:tcW w:type="dxa" w:w="3900"/>
            <w:shd w:fill="FBF9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Agenda Escolar 2030, eco-delegados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5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Sensibilización para comercio y hostelería</w:t>
            </w:r>
          </w:p>
        </w:tc>
        <w:tc>
          <w:tcPr>
            <w:tcW w:type="dxa" w:w="3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Visitas 1 a 1, distintivo y vídeo promocional</w:t>
            </w:r>
          </w:p>
        </w:tc>
      </w:tr>
      <w:tr>
        <w:tc>
          <w:tcPr>
            <w:tcW w:type="dxa" w:w="700"/>
            <w:shd w:fill="FBF9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6</w:t>
            </w:r>
          </w:p>
        </w:tc>
        <w:tc>
          <w:tcPr>
            <w:tcW w:type="dxa" w:w="4700"/>
            <w:shd w:fill="FBF9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Presencia en ferias, jornadas y eventos</w:t>
            </w:r>
          </w:p>
        </w:tc>
        <w:tc>
          <w:tcPr>
            <w:tcW w:type="dxa" w:w="3900"/>
            <w:shd w:fill="FBF9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Formato intensivo, varios talleres combinados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7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Producción de materiales y comunicación</w:t>
            </w:r>
          </w:p>
        </w:tc>
        <w:tc>
          <w:tcPr>
            <w:tcW w:type="dxa" w:w="3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Cartelería, folletos, vídeo, señalética</w:t>
            </w:r>
          </w:p>
        </w:tc>
      </w:tr>
    </w:tbl>
    <w:p>
      <w:pPr>
        <w:spacing w:after="40" w:before="420"/>
      </w:pPr>
      <w:r>
        <w:rPr>
          <w:rFonts w:ascii="Calibri" w:cs="Calibri" w:eastAsia="Calibri" w:hAnsi="Calibri"/>
          <w:b/>
          <w:bCs/>
          <w:color w:val="0B8A6B"/>
          <w:sz w:val="18"/>
          <w:szCs w:val="18"/>
        </w:rPr>
        <w:t xml:space="preserve">LÍNEA DE SERVICIO 1</w:t>
      </w:r>
    </w:p>
    <w:p>
      <w:pPr>
        <w:pBdr>
          <w:bottom w:val="single" w:color="D8CBA0" w:sz="4" w:space="4"/>
        </w:pBdr>
        <w:spacing w:after="140" w:before="60"/>
      </w:pPr>
      <w:r>
        <w:rPr>
          <w:rFonts w:ascii="Calibri" w:cs="Calibri" w:eastAsia="Calibri" w:hAnsi="Calibri"/>
          <w:b/>
          <w:bCs/>
          <w:color w:val="5C4F3C"/>
          <w:sz w:val="27"/>
          <w:szCs w:val="27"/>
        </w:rPr>
        <w:t xml:space="preserve">Diseño de estrategias municipales de concienciación ambiental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Diseño integral de una estrategia de sensibilización y cuidado del medio ambiente a medida de cada municipio, desde la constitución de un grupo de trabajo interno hasta su despliegue en la calle y en los centros educativos.</w:t>
      </w:r>
    </w:p>
    <w:p>
      <w:pPr>
        <w:spacing w:after="70" w:before="180"/>
      </w:pPr>
      <w:r>
        <w:rPr>
          <w:rFonts w:ascii="Calibri" w:cs="Calibri" w:eastAsia="Calibri" w:hAnsi="Calibri"/>
          <w:b/>
          <w:bCs/>
          <w:color w:val="0B8A6B"/>
          <w:sz w:val="21"/>
          <w:szCs w:val="21"/>
        </w:rPr>
        <w:t xml:space="preserve">Qué incluye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5C4F3C"/>
          <w:sz w:val="21"/>
          <w:szCs w:val="21"/>
        </w:rPr>
        <w:t xml:space="preserve">Constitución del grupo de trabajo interno.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acompañamiento a un grupo de coordinación técnico-político para validar el enfoque y el calendario del proceso.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5C4F3C"/>
          <w:sz w:val="21"/>
          <w:szCs w:val="21"/>
        </w:rPr>
        <w:t xml:space="preserve">Diseño de la estrategia de comunicación.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claim, cartelería para espacios públicos, tríptico informativo (impreso y adaptado a web) y contenidos para revista o página municipal.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5C4F3C"/>
          <w:sz w:val="21"/>
          <w:szCs w:val="21"/>
        </w:rPr>
        <w:t xml:space="preserve">Documentación personalizada.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folleto y materiales elaborados con datos propios del municipio (niveles de reciclaje, residuos generados, gestión actual).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5C4F3C"/>
          <w:sz w:val="21"/>
          <w:szCs w:val="21"/>
        </w:rPr>
        <w:t xml:space="preserve">Jornadas y talleres a pie de calle.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stand o módulo con atención al público en horario de mañana y tarde, cartelería explicativa y reparto de material informativo.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5C4F3C"/>
          <w:sz w:val="21"/>
          <w:szCs w:val="21"/>
        </w:rPr>
        <w:t xml:space="preserve">Talleres infantiles y familiares.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pintura, juegos de clasificación de residuos y demostraciones prácticas de reciclaje (trituración e inyección de plástico, compostaje in situ).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5C4F3C"/>
          <w:sz w:val="21"/>
          <w:szCs w:val="21"/>
        </w:rPr>
        <w:t xml:space="preserve">Sesiones en centros escolares.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sesiones específicas con los centros educativos del municipio, con reparto de material y práctica de plantado.</w:t>
      </w:r>
    </w:p>
    <w:p>
      <w:pPr>
        <w:spacing w:after="0" w:before="120"/>
        <w:jc w:val="center"/>
      </w:pPr>
      <w:r>
        <w:drawing>
          <wp:inline distT="0" distB="0" distL="0" distR="0">
            <wp:extent cx="2238375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Calibri" w:cs="Calibri" w:eastAsia="Calibri" w:hAnsi="Calibri"/>
          <w:i/>
          <w:iCs/>
          <w:color w:val="6E6E6E"/>
          <w:sz w:val="17"/>
          <w:szCs w:val="17"/>
        </w:rPr>
        <w:t xml:space="preserve">Jornada de calle: la ciudadanía se acerca a conocer la campaña de primera mano.</w:t>
      </w:r>
    </w:p>
    <w:p>
      <w:pPr>
        <w:spacing w:after="160" w:line="288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A3A3A"/>
          <w:sz w:val="21"/>
          <w:szCs w:val="21"/>
        </w:rPr>
        <w:t xml:space="preserve">Formato pensado para repetirse anualmente con distintos públicos o dar continuidad curso a curso en los centros escolares.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0B8A6B"/>
          <w:sz w:val="18"/>
          <w:szCs w:val="18"/>
        </w:rPr>
        <w:t xml:space="preserve">LÍNEA DE SERVICIO 2</w:t>
      </w:r>
    </w:p>
    <w:p>
      <w:pPr>
        <w:pBdr>
          <w:bottom w:val="single" w:color="D8CBA0" w:sz="4" w:space="4"/>
        </w:pBdr>
        <w:spacing w:after="140" w:before="60"/>
      </w:pPr>
      <w:r>
        <w:rPr>
          <w:rFonts w:ascii="Calibri" w:cs="Calibri" w:eastAsia="Calibri" w:hAnsi="Calibri"/>
          <w:b/>
          <w:bCs/>
          <w:color w:val="5C4F3C"/>
          <w:sz w:val="27"/>
          <w:szCs w:val="27"/>
        </w:rPr>
        <w:t xml:space="preserve">Campañas de sensibilización sobre cambio climático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Campaña expositiva y formativa sobre la realidad del cambio climático, sus causas, consecuencias y soluciones, articulada en torno a un espacio cedido por la institución y charlas dirigidas a centros escolares.</w:t>
      </w:r>
    </w:p>
    <w:p>
      <w:pPr>
        <w:spacing w:after="70" w:before="180"/>
      </w:pPr>
      <w:r>
        <w:rPr>
          <w:rFonts w:ascii="Calibri" w:cs="Calibri" w:eastAsia="Calibri" w:hAnsi="Calibri"/>
          <w:b/>
          <w:bCs/>
          <w:color w:val="0B8A6B"/>
          <w:sz w:val="21"/>
          <w:szCs w:val="21"/>
        </w:rPr>
        <w:t xml:space="preserve">Qué incluye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5C4F3C"/>
          <w:sz w:val="21"/>
          <w:szCs w:val="21"/>
        </w:rPr>
        <w:t xml:space="preserve">Espacio expositivo de referencia.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montaje de un módulo o espacio con cartelería sobre el cambio climático, sus efectos y las acciones para revertirlo.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5C4F3C"/>
          <w:sz w:val="21"/>
          <w:szCs w:val="21"/>
        </w:rPr>
        <w:t xml:space="preserve">Charlas para centros de Primaria.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sesiones de aproximadamente 50 minutos para grupos de unos 25 alumnos y alumnas, en horario escolar.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5C4F3C"/>
          <w:sz w:val="21"/>
          <w:szCs w:val="21"/>
        </w:rPr>
        <w:t xml:space="preserve">Demostraciones prácticas.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del concepto de las 3R (Reducir, Reutilizar, Reciclar): transformación de papel, cartón, aceite doméstico usado y envases de plástico en objetos útiles.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5C4F3C"/>
          <w:sz w:val="21"/>
          <w:szCs w:val="21"/>
        </w:rPr>
        <w:t xml:space="preserve">Compostaje y plantado.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instalación de compostadora didáctica y entrega de una plántula de temporada a cada participante.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5C4F3C"/>
          <w:sz w:val="21"/>
          <w:szCs w:val="21"/>
        </w:rPr>
        <w:t xml:space="preserve">Opción de sesiones familiares.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sesiones abiertas a público familiar fuera del horario escolar, con actividades manuales adicionales.</w:t>
      </w:r>
    </w:p>
    <w:p>
      <w:pPr>
        <w:spacing w:after="160" w:line="288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A3A3A"/>
          <w:sz w:val="21"/>
          <w:szCs w:val="21"/>
        </w:rPr>
        <w:t xml:space="preserve">Ideal para enmarcar dentro de Asteklima o cualquier semana temática de movilización ciudadana por el clima. Todos los materiales y la cartelería se producen en euskera y castellano, priorizando el euskera en la atención directa a la ciudadanía.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0B8A6B"/>
          <w:sz w:val="18"/>
          <w:szCs w:val="18"/>
        </w:rPr>
        <w:t xml:space="preserve">LÍNEA DE SERVICIO 3</w:t>
      </w:r>
    </w:p>
    <w:p>
      <w:pPr>
        <w:pBdr>
          <w:bottom w:val="single" w:color="D8CBA0" w:sz="4" w:space="4"/>
        </w:pBdr>
        <w:spacing w:after="140" w:before="60"/>
      </w:pPr>
      <w:r>
        <w:rPr>
          <w:rFonts w:ascii="Calibri" w:cs="Calibri" w:eastAsia="Calibri" w:hAnsi="Calibri"/>
          <w:b/>
          <w:bCs/>
          <w:color w:val="5C4F3C"/>
          <w:sz w:val="27"/>
          <w:szCs w:val="27"/>
        </w:rPr>
        <w:t xml:space="preserve">Talleres temáticos de gestión de residuos y economía circular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Catálogo modular de talleres prácticos sobre distintas tipologías de residuos, pensados para público infantil, familiar o general, disponibles en dos formatos de duración adaptables al presupuesto y los objetivos de cada institución.</w:t>
      </w:r>
    </w:p>
    <w:p>
      <w:pPr>
        <w:spacing w:after="70" w:before="180"/>
      </w:pPr>
      <w:r>
        <w:rPr>
          <w:rFonts w:ascii="Calibri" w:cs="Calibri" w:eastAsia="Calibri" w:hAnsi="Calibri"/>
          <w:b/>
          <w:bCs/>
          <w:color w:val="0B8A6B"/>
          <w:sz w:val="21"/>
          <w:szCs w:val="21"/>
        </w:rPr>
        <w:t xml:space="preserve">Talleres disponibles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tblHeader/>
        </w:trPr>
        <w:tc>
          <w:tcPr>
            <w:tcW w:type="dxa" w:w="2600"/>
            <w:shd w:fill="5C4F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Taller</w:t>
            </w:r>
          </w:p>
        </w:tc>
        <w:tc>
          <w:tcPr>
            <w:tcW w:type="dxa" w:w="6700"/>
            <w:shd w:fill="5C4F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Gestión del aceite usado</w:t>
            </w:r>
          </w:p>
        </w:tc>
        <w:tc>
          <w:tcPr>
            <w:tcW w:type="dxa" w:w="6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Transformación de aceite doméstico usado en jabón y velas ecológicas (jabón líquido en la sesión larga).</w:t>
            </w:r>
          </w:p>
        </w:tc>
      </w:tr>
      <w:tr>
        <w:tc>
          <w:tcPr>
            <w:tcW w:type="dxa" w:w="2600"/>
            <w:shd w:fill="FBF9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Gestión del papel y cartón</w:t>
            </w:r>
          </w:p>
        </w:tc>
        <w:tc>
          <w:tcPr>
            <w:tcW w:type="dxa" w:w="6700"/>
            <w:shd w:fill="FBF9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Elaboración artesanal de papel reciclado y envases de cartón reutilizables; encuadernación de una libreta en la sesión larga.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Gestión de plásticos</w:t>
            </w:r>
          </w:p>
        </w:tc>
        <w:tc>
          <w:tcPr>
            <w:tcW w:type="dxa" w:w="6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Clasificación de plásticos por tipología y transformación mediante extrusora-inyectora en piezas útiles.</w:t>
            </w:r>
          </w:p>
        </w:tc>
      </w:tr>
      <w:tr>
        <w:tc>
          <w:tcPr>
            <w:tcW w:type="dxa" w:w="2600"/>
            <w:shd w:fill="FBF9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Materia orgánica y compostaje</w:t>
            </w:r>
          </w:p>
        </w:tc>
        <w:tc>
          <w:tcPr>
            <w:tcW w:type="dxa" w:w="6700"/>
            <w:shd w:fill="FBF9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Proceso de compostaje explicado paso a paso, con entrega de plantón o kokedama.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Reparación y transformación textil</w:t>
            </w:r>
          </w:p>
        </w:tc>
        <w:tc>
          <w:tcPr>
            <w:tcW w:type="dxa" w:w="6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Costura, remiendo y personalización de prendas para alargar su vida útil.</w:t>
            </w:r>
          </w:p>
        </w:tc>
      </w:tr>
      <w:tr>
        <w:tc>
          <w:tcPr>
            <w:tcW w:type="dxa" w:w="2600"/>
            <w:shd w:fill="FBF9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Cocina de aprovechamiento “Zero Waste”</w:t>
            </w:r>
          </w:p>
        </w:tc>
        <w:tc>
          <w:tcPr>
            <w:tcW w:type="dxa" w:w="6700"/>
            <w:shd w:fill="FBF9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Recetas y técnicas de cocina para reducir el desperdicio alimentario.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Juegos con materiales reciclados</w:t>
            </w:r>
          </w:p>
        </w:tc>
        <w:tc>
          <w:tcPr>
            <w:tcW w:type="dxa" w:w="6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Fabricación de juegos clásicos (dominó, parchís, bolos, tres en raya…) con materiales reutilizados.</w:t>
            </w:r>
          </w:p>
        </w:tc>
      </w:tr>
    </w:tbl>
    <w:p>
      <w:pPr>
        <w:spacing w:before="200"/>
      </w:pPr>
    </w:p>
    <w:p>
      <w:pPr>
        <w:spacing w:after="70" w:before="180"/>
      </w:pPr>
      <w:r>
        <w:rPr>
          <w:rFonts w:ascii="Calibri" w:cs="Calibri" w:eastAsia="Calibri" w:hAnsi="Calibri"/>
          <w:b/>
          <w:bCs/>
          <w:color w:val="0B8A6B"/>
          <w:sz w:val="21"/>
          <w:szCs w:val="21"/>
        </w:rPr>
        <w:t xml:space="preserve">Formato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5C4F3C"/>
          <w:sz w:val="21"/>
          <w:szCs w:val="21"/>
        </w:rPr>
        <w:t xml:space="preserve">Aforo.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grupos de entre 15 y 25 personas, a partir de 8 años (menores acompañados de una persona adulta).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5C4F3C"/>
          <w:sz w:val="21"/>
          <w:szCs w:val="21"/>
        </w:rPr>
        <w:t xml:space="preserve">Duración.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sesión de 1,5 h (contenido teórico ágil y un único taller) o sesión de 3 h (contenido más completo, con posibilidad de combinar varios talleres).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5C4F3C"/>
          <w:sz w:val="21"/>
          <w:szCs w:val="21"/>
        </w:rPr>
        <w:t xml:space="preserve">Combinación de talleres.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posibilidad de programar varios talleres el mismo día, con distintos dinamizadores en paralelo, para jornadas de mayor formato o ferias.</w:t>
      </w:r>
    </w:p>
    <w:p>
      <w:pPr>
        <w:spacing w:after="160" w:line="288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A3A3A"/>
          <w:sz w:val="21"/>
          <w:szCs w:val="21"/>
        </w:rPr>
        <w:t xml:space="preserve">Un formato flexible pensado para encajar en cualquier presupuesto: empiece por un único taller y amplíe la propuesta en próximas convocatorias.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0B8A6B"/>
          <w:sz w:val="18"/>
          <w:szCs w:val="18"/>
        </w:rPr>
        <w:t xml:space="preserve">LÍNEA DE SERVICIO 4</w:t>
      </w:r>
    </w:p>
    <w:p>
      <w:pPr>
        <w:pBdr>
          <w:bottom w:val="single" w:color="D8CBA0" w:sz="4" w:space="4"/>
        </w:pBdr>
        <w:spacing w:after="140" w:before="60"/>
      </w:pPr>
      <w:r>
        <w:rPr>
          <w:rFonts w:ascii="Calibri" w:cs="Calibri" w:eastAsia="Calibri" w:hAnsi="Calibri"/>
          <w:b/>
          <w:bCs/>
          <w:color w:val="5C4F3C"/>
          <w:sz w:val="27"/>
          <w:szCs w:val="27"/>
        </w:rPr>
        <w:t xml:space="preserve">Programas educativos en centros escolares e institutos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Programas formativos dirigidos a centros de Primaria y Secundaria, alineados con la Agenda Escolar 2030 y con la figura de los eco-delegados y eco-ordezkariak, con posibilidad de acompañamiento a lo largo del curso.</w:t>
      </w:r>
    </w:p>
    <w:p>
      <w:pPr>
        <w:spacing w:after="70" w:before="180"/>
      </w:pPr>
      <w:r>
        <w:rPr>
          <w:rFonts w:ascii="Calibri" w:cs="Calibri" w:eastAsia="Calibri" w:hAnsi="Calibri"/>
          <w:b/>
          <w:bCs/>
          <w:color w:val="0B8A6B"/>
          <w:sz w:val="21"/>
          <w:szCs w:val="21"/>
        </w:rPr>
        <w:t xml:space="preserve">Qué incluye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5C4F3C"/>
          <w:sz w:val="21"/>
          <w:szCs w:val="21"/>
        </w:rPr>
        <w:t xml:space="preserve">Jornadas formativas.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de 90 minutos en el propio centro, con contenidos adaptados a la etapa educativa (energía, consumo responsable, cambio climático, entre otros).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5C4F3C"/>
          <w:sz w:val="21"/>
          <w:szCs w:val="21"/>
        </w:rPr>
        <w:t xml:space="preserve">Trabajo con eco-delegados/as.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diagnóstico de hábitos y propuesta de proyectos-acción con compromisos alcanzables para el alumnado.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5C4F3C"/>
          <w:sz w:val="21"/>
          <w:szCs w:val="21"/>
        </w:rPr>
        <w:t xml:space="preserve">Seguimiento del proyecto (opcional).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canal de comunicación (correo electrónico, repositorio compartido) para acompañar el desarrollo de los proyectos entre sesiones.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5C4F3C"/>
          <w:sz w:val="21"/>
          <w:szCs w:val="21"/>
        </w:rPr>
        <w:t xml:space="preserve">Evaluación de impacto (opcional).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sesión de cierre, meses después, para valorar junto al centro y la institución promotora el impacto alcanzado.</w:t>
      </w:r>
    </w:p>
    <w:p>
      <w:pPr>
        <w:spacing w:after="160" w:line="288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A3A3A"/>
          <w:sz w:val="21"/>
          <w:szCs w:val="21"/>
        </w:rPr>
        <w:t xml:space="preserve">Un programa que se sostiene en el tiempo: el acompañamiento opcional convierte una charla puntual en un proyecto con impacto medible curso a curso. Materiales visuales y didácticos adaptados por curso o ciclo, en euskera y castellano.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0B8A6B"/>
          <w:sz w:val="18"/>
          <w:szCs w:val="18"/>
        </w:rPr>
        <w:t xml:space="preserve">LÍNEA DE SERVICIO 5</w:t>
      </w:r>
    </w:p>
    <w:p>
      <w:pPr>
        <w:pBdr>
          <w:bottom w:val="single" w:color="D8CBA0" w:sz="4" w:space="4"/>
        </w:pBdr>
        <w:spacing w:after="140" w:before="60"/>
      </w:pPr>
      <w:r>
        <w:rPr>
          <w:rFonts w:ascii="Calibri" w:cs="Calibri" w:eastAsia="Calibri" w:hAnsi="Calibri"/>
          <w:b/>
          <w:bCs/>
          <w:color w:val="5C4F3C"/>
          <w:sz w:val="27"/>
          <w:szCs w:val="27"/>
        </w:rPr>
        <w:t xml:space="preserve">Campañas de sensibilización para comercio y hostelería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Programa de visitas personalizadas a comercios y establecimientos hosteleros del municipio para sensibilizar sobre la reducción y la correcta gestión de residuos, con especial atención al residuo orgánico.</w:t>
      </w:r>
    </w:p>
    <w:p>
      <w:pPr>
        <w:spacing w:after="70" w:before="180"/>
      </w:pPr>
      <w:r>
        <w:rPr>
          <w:rFonts w:ascii="Calibri" w:cs="Calibri" w:eastAsia="Calibri" w:hAnsi="Calibri"/>
          <w:b/>
          <w:bCs/>
          <w:color w:val="0B8A6B"/>
          <w:sz w:val="21"/>
          <w:szCs w:val="21"/>
        </w:rPr>
        <w:t xml:space="preserve">Qué incluye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5C4F3C"/>
          <w:sz w:val="21"/>
          <w:szCs w:val="21"/>
        </w:rPr>
        <w:t xml:space="preserve">Reuniones individuales.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de 30-45 minutos en cada establecimiento, con guion teórico-práctico validado junto con la institución.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5C4F3C"/>
          <w:sz w:val="21"/>
          <w:szCs w:val="21"/>
        </w:rPr>
        <w:t xml:space="preserve">Diagnóstico y escucha activa.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recogida de necesidades y sugerencias de cada negocio para su traslado a la administración.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5C4F3C"/>
          <w:sz w:val="21"/>
          <w:szCs w:val="21"/>
        </w:rPr>
        <w:t xml:space="preserve">Distintivo de campaña.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distintivo tipo vinílico para el escaparate, acreditando la participación en la campaña: visibilidad para el negocio y para la institución.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5C4F3C"/>
          <w:sz w:val="21"/>
          <w:szCs w:val="21"/>
        </w:rPr>
        <w:t xml:space="preserve">Vídeo promocional.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de corta duración con testimonios de comercios participantes, listo para redes sociales y web institucional.</w:t>
      </w:r>
    </w:p>
    <w:p>
      <w:pPr>
        <w:spacing w:after="0" w:before="120"/>
        <w:jc w:val="center"/>
      </w:pPr>
      <w:r>
        <w:drawing>
          <wp:inline distT="0" distB="0" distL="0" distR="0">
            <wp:extent cx="180975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0975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0975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Calibri" w:cs="Calibri" w:eastAsia="Calibri" w:hAnsi="Calibri"/>
          <w:i/>
          <w:iCs/>
          <w:color w:val="6E6E6E"/>
          <w:sz w:val="17"/>
          <w:szCs w:val="17"/>
        </w:rPr>
        <w:t xml:space="preserve">El comercio y la hostelería local, aliados clave en la reducción de residuos.</w:t>
      </w:r>
    </w:p>
    <w:p>
      <w:pPr>
        <w:spacing w:after="70" w:before="180"/>
      </w:pPr>
      <w:r>
        <w:rPr>
          <w:rFonts w:ascii="Calibri" w:cs="Calibri" w:eastAsia="Calibri" w:hAnsi="Calibri"/>
          <w:b/>
          <w:bCs/>
          <w:color w:val="0B8A6B"/>
          <w:sz w:val="21"/>
          <w:szCs w:val="21"/>
        </w:rPr>
        <w:t xml:space="preserve">Fases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/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Toma de contacto, preparación de contenidos, validación, difusión y planificación, desarrollo de sesiones (hasta tres intentos de contacto por establecimiento) y devolución de resultados.</w:t>
      </w:r>
    </w:p>
    <w:p>
      <w:pPr>
        <w:spacing w:after="160" w:line="288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A3A3A"/>
          <w:sz w:val="21"/>
          <w:szCs w:val="21"/>
        </w:rPr>
        <w:t xml:space="preserve">Capacidad orientativa: hasta 75 establecimientos por campaña, ampliable según necesidades. Una manera visible y tangible de que el comercio local perciba el compromiso ambiental de su institución.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0B8A6B"/>
          <w:sz w:val="18"/>
          <w:szCs w:val="18"/>
        </w:rPr>
        <w:t xml:space="preserve">LÍNEA DE SERVICIO 6</w:t>
      </w:r>
    </w:p>
    <w:p>
      <w:pPr>
        <w:pBdr>
          <w:bottom w:val="single" w:color="D8CBA0" w:sz="4" w:space="4"/>
        </w:pBdr>
        <w:spacing w:after="140" w:before="60"/>
      </w:pPr>
      <w:r>
        <w:rPr>
          <w:rFonts w:ascii="Calibri" w:cs="Calibri" w:eastAsia="Calibri" w:hAnsi="Calibri"/>
          <w:b/>
          <w:bCs/>
          <w:color w:val="5C4F3C"/>
          <w:sz w:val="27"/>
          <w:szCs w:val="27"/>
        </w:rPr>
        <w:t xml:space="preserve">Presencia en ferias, jornadas y eventos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Talleres y espacios de sensibilización ambiental llave en mano para ferias, fiestas patronales, jornadas corporativas o eventos institucionales, combinando distintos talleres temáticos en una jornada intensiva.</w:t>
      </w:r>
    </w:p>
    <w:p>
      <w:pPr>
        <w:spacing w:after="70" w:before="180"/>
      </w:pPr>
      <w:r>
        <w:rPr>
          <w:rFonts w:ascii="Calibri" w:cs="Calibri" w:eastAsia="Calibri" w:hAnsi="Calibri"/>
          <w:b/>
          <w:bCs/>
          <w:color w:val="0B8A6B"/>
          <w:sz w:val="21"/>
          <w:szCs w:val="21"/>
        </w:rPr>
        <w:t xml:space="preserve">Qué incluye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5C4F3C"/>
          <w:sz w:val="21"/>
          <w:szCs w:val="21"/>
        </w:rPr>
        <w:t xml:space="preserve">Selección de talleres.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adaptada al perfil de público y al aforo previsto del evento.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5C4F3C"/>
          <w:sz w:val="21"/>
          <w:szCs w:val="21"/>
        </w:rPr>
        <w:t xml:space="preserve">Equipo y materiales.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equipo de dinamizadores y dinamizadoras y todo el material necesario para el desarrollo de la jornada.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5C4F3C"/>
          <w:sz w:val="21"/>
          <w:szCs w:val="21"/>
        </w:rPr>
        <w:t xml:space="preserve">Gestión flexible del aforo.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las actividades se van compaginando según la afluencia real en cada momento del evento.</w:t>
      </w:r>
    </w:p>
    <w:p>
      <w:pPr>
        <w:spacing w:after="160" w:line="288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A3A3A"/>
          <w:sz w:val="21"/>
          <w:szCs w:val="21"/>
        </w:rPr>
        <w:t xml:space="preserve">Formato de medio día o jornada completa (por ejemplo, sesiones de 6 horas). Una forma eficaz de dar visibilidad a la sostenibilidad en el evento de mayor afluencia de su municipio.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0B8A6B"/>
          <w:sz w:val="18"/>
          <w:szCs w:val="18"/>
        </w:rPr>
        <w:t xml:space="preserve">LÍNEA DE SERVICIO 7</w:t>
      </w:r>
    </w:p>
    <w:p>
      <w:pPr>
        <w:pBdr>
          <w:bottom w:val="single" w:color="D8CBA0" w:sz="4" w:space="4"/>
        </w:pBdr>
        <w:spacing w:after="140" w:before="60"/>
      </w:pPr>
      <w:r>
        <w:rPr>
          <w:rFonts w:ascii="Calibri" w:cs="Calibri" w:eastAsia="Calibri" w:hAnsi="Calibri"/>
          <w:b/>
          <w:bCs/>
          <w:color w:val="5C4F3C"/>
          <w:sz w:val="27"/>
          <w:szCs w:val="27"/>
        </w:rPr>
        <w:t xml:space="preserve">Producción de materiales y comunicación de campaña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Diseño y producción de los soportes de comunicación necesarios para acompañar cualquiera de nuestras líneas de servicio o una campaña propia de la institución.</w:t>
      </w:r>
    </w:p>
    <w:p>
      <w:pPr>
        <w:spacing w:after="70" w:before="180"/>
      </w:pPr>
      <w:r>
        <w:rPr>
          <w:rFonts w:ascii="Calibri" w:cs="Calibri" w:eastAsia="Calibri" w:hAnsi="Calibri"/>
          <w:b/>
          <w:bCs/>
          <w:color w:val="0B8A6B"/>
          <w:sz w:val="21"/>
          <w:szCs w:val="21"/>
        </w:rPr>
        <w:t xml:space="preserve">Qué incluye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/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Cartelería para espacio público y espacios expositivos.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/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Trípticos y folletos informativos, en versión impresa y adaptación web.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/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Elementos promocionales: imanes informativos, distintivos y señalética de módulo.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/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Vídeos promocionales para redes sociales y web institucional.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/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Documentación personalizada con datos propios de cada municipio.</w:t>
      </w:r>
    </w:p>
    <w:p>
      <w:pPr>
        <w:spacing w:after="160" w:line="288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A3A3A"/>
          <w:sz w:val="21"/>
          <w:szCs w:val="21"/>
        </w:rPr>
        <w:t xml:space="preserve">Todo el contenido se produce en euskera y castellano, priorizando el euskera en la atención directa a la ciudadanía.</w:t>
      </w:r>
    </w:p>
    <w:p>
      <w:pPr>
        <w:pStyle w:val="Heading1"/>
        <w:pBdr>
          <w:bottom w:val="single" w:color="E85D04" w:sz="8" w:space="6"/>
        </w:pBdr>
        <w:spacing w:after="180" w:before="440"/>
      </w:pPr>
      <w:r>
        <w:rPr>
          <w:rFonts w:ascii="Calibri" w:cs="Calibri" w:eastAsia="Calibri" w:hAnsi="Calibri"/>
          <w:b/>
          <w:bCs/>
          <w:color w:val="E85D04"/>
          <w:sz w:val="30"/>
          <w:szCs w:val="30"/>
        </w:rPr>
        <w:t xml:space="preserve">Metodología de trabajo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Todas nuestras campañas siguen un proceso común que garantiza la coordinación con la institución contratante en cada etapa del proyecto: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5C4F3C"/>
          <w:sz w:val="21"/>
          <w:szCs w:val="21"/>
        </w:rPr>
        <w:t xml:space="preserve">1. Toma de contacto.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reunión inicial para definir equipo de trabajo, objetivos y metodología.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5C4F3C"/>
          <w:sz w:val="21"/>
          <w:szCs w:val="21"/>
        </w:rPr>
        <w:t xml:space="preserve">2. Preparación de contenidos y materiales.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diseño de guiones, cuestionarios y materiales, personalizados con datos e información aportada por la institución.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5C4F3C"/>
          <w:sz w:val="21"/>
          <w:szCs w:val="21"/>
        </w:rPr>
        <w:t xml:space="preserve">3. Validación.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segunda reunión de revisión y visto bueno de contenidos y materiales.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5C4F3C"/>
          <w:sz w:val="21"/>
          <w:szCs w:val="21"/>
        </w:rPr>
        <w:t xml:space="preserve">4. Difusión y planificación de sesiones.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contacto con centros escolares, comercios o colectivos participantes y cierre del calendario.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5C4F3C"/>
          <w:sz w:val="21"/>
          <w:szCs w:val="21"/>
        </w:rPr>
        <w:t xml:space="preserve">5. Desarrollo de la campaña.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ejecución de las sesiones, talleres o jornadas planificadas.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5C4F3C"/>
          <w:sz w:val="21"/>
          <w:szCs w:val="21"/>
        </w:rPr>
        <w:t xml:space="preserve">6. Cierre y devolución de resultados.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entrega a la institución de la información recogida y puesta en común de valoraciones y aprendizajes.</w:t>
      </w:r>
    </w:p>
    <w:p>
      <w:pPr>
        <w:pStyle w:val="Heading1"/>
        <w:pBdr>
          <w:bottom w:val="single" w:color="E85D04" w:sz="8" w:space="6"/>
        </w:pBdr>
        <w:spacing w:after="180" w:before="440"/>
      </w:pPr>
      <w:r>
        <w:rPr>
          <w:rFonts w:ascii="Calibri" w:cs="Calibri" w:eastAsia="Calibri" w:hAnsi="Calibri"/>
          <w:b/>
          <w:bCs/>
          <w:color w:val="E85D04"/>
          <w:sz w:val="30"/>
          <w:szCs w:val="30"/>
        </w:rPr>
        <w:t xml:space="preserve">Público objetivo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/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Público infantil, a partir de 8 años (con acompañamiento adulto para menores).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/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Familias.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/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Alumnado de Educación Primaria y Secundaria.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/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Eco-delegados y eco-ordezkariak.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/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Comercio y hostelería local.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/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Ciudadanía en general.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/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Personal técnico y político municipal.</w:t>
      </w:r>
    </w:p>
    <w:p>
      <w:pPr>
        <w:pStyle w:val="Heading1"/>
        <w:pBdr>
          <w:bottom w:val="single" w:color="E85D04" w:sz="8" w:space="6"/>
        </w:pBdr>
        <w:spacing w:after="180" w:before="440"/>
      </w:pPr>
      <w:r>
        <w:rPr>
          <w:rFonts w:ascii="Calibri" w:cs="Calibri" w:eastAsia="Calibri" w:hAnsi="Calibri"/>
          <w:b/>
          <w:bCs/>
          <w:color w:val="E85D04"/>
          <w:sz w:val="30"/>
          <w:szCs w:val="30"/>
        </w:rPr>
        <w:t xml:space="preserve">Compromiso lingüístico y adaptación territorial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Todos nuestros materiales y sesiones se ofrecen en euskera y castellano, dando prioridad al euskera en la atención directa a la ciudadanía. Cada campaña se construye con los datos y la realidad propios de la institución contratante —niveles de reciclaje, residuos generados, recursos disponibles—, evitando propuestas genéricas y facilitando que la ciudadanía se reconozca en los contenidos.</w:t>
      </w:r>
    </w:p>
    <w:p>
      <w:pPr>
        <w:pStyle w:val="Heading1"/>
        <w:pBdr>
          <w:bottom w:val="single" w:color="E85D04" w:sz="8" w:space="6"/>
        </w:pBdr>
        <w:spacing w:after="180" w:before="440"/>
      </w:pPr>
      <w:r>
        <w:rPr>
          <w:rFonts w:ascii="Calibri" w:cs="Calibri" w:eastAsia="Calibri" w:hAnsi="Calibri"/>
          <w:b/>
          <w:bCs/>
          <w:color w:val="E85D04"/>
          <w:sz w:val="30"/>
          <w:szCs w:val="30"/>
        </w:rPr>
        <w:t xml:space="preserve">Marcos de financiación y alineación institucional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Nuestras líneas de servicio están diseñadas para encajar con los principales marcos de trabajo y convocatorias de subvención dirigidas a entidades locales vascas en materia de sostenibilidad, entre ellos: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5C4F3C"/>
          <w:sz w:val="21"/>
          <w:szCs w:val="21"/>
        </w:rPr>
        <w:t xml:space="preserve">Objetivos de Desarrollo Sostenible (ODS) y Agenda 2030.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en particular los objetivos 4 (Educación de calidad), 7 (Energía asequible y no contaminante), 11 (Ciudades y comunidades sostenibles) y 13 (Acción por el clima).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/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Agenda 2030 Local y Agenda Escolar 2030.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/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Asteklima, semana de movilización ciudadana en torno al cambio climático.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/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Semana de Prevención de Residuos.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/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Líneas de subvención del Gobierno Vasco e Ihobe a entidades locales para el desarrollo sostenible.</w:t>
      </w:r>
    </w:p>
    <w:p>
      <w:pPr>
        <w:spacing w:after="160" w:line="288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A3A3A"/>
          <w:sz w:val="21"/>
          <w:szCs w:val="21"/>
        </w:rPr>
        <w:t xml:space="preserve">Podemos asesorar en la adaptación de cada propuesta a la convocatoria de subvención correspondiente, para que su solicitud encaje mejor con los criterios de la resolución.</w:t>
      </w:r>
    </w:p>
    <w:p>
      <w:pPr>
        <w:pStyle w:val="Heading1"/>
        <w:pBdr>
          <w:bottom w:val="single" w:color="E85D04" w:sz="8" w:space="6"/>
        </w:pBdr>
        <w:spacing w:after="180" w:before="440"/>
      </w:pPr>
      <w:r>
        <w:rPr>
          <w:rFonts w:ascii="Calibri" w:cs="Calibri" w:eastAsia="Calibri" w:hAnsi="Calibri"/>
          <w:b/>
          <w:bCs/>
          <w:color w:val="E85D04"/>
          <w:sz w:val="30"/>
          <w:szCs w:val="30"/>
        </w:rPr>
        <w:t xml:space="preserve">Modalidades y presupuesto orientativo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Cada propuesta se dimensiona según el número de sesiones, participantes, duración y materiales necesarios. Como referencia orientativa (importes sin IVA):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2100"/>
      </w:tblGrid>
      <w:tr>
        <w:trPr>
          <w:tblHeader/>
        </w:trPr>
        <w:tc>
          <w:tcPr>
            <w:tcW w:type="dxa" w:w="3600"/>
            <w:shd w:fill="5C4F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3600"/>
            <w:shd w:fill="5C4F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Formato</w:t>
            </w:r>
          </w:p>
        </w:tc>
        <w:tc>
          <w:tcPr>
            <w:tcW w:type="dxa" w:w="2100"/>
            <w:shd w:fill="5C4F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Precio orientativo</w:t>
            </w:r>
          </w:p>
        </w:tc>
      </w:tr>
      <w:tr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Taller temático de residuos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Sesión de 1,5 h</w:t>
            </w:r>
          </w:p>
        </w:tc>
        <w:tc>
          <w:tcPr>
            <w:tcW w:type="dxa" w:w="2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Desde 450 €</w:t>
            </w:r>
          </w:p>
        </w:tc>
      </w:tr>
      <w:tr>
        <w:tc>
          <w:tcPr>
            <w:tcW w:type="dxa" w:w="3600"/>
            <w:shd w:fill="FBF9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Taller temático de residuos</w:t>
            </w:r>
          </w:p>
        </w:tc>
        <w:tc>
          <w:tcPr>
            <w:tcW w:type="dxa" w:w="3600"/>
            <w:shd w:fill="FBF9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Sesión de 3 h</w:t>
            </w:r>
          </w:p>
        </w:tc>
        <w:tc>
          <w:tcPr>
            <w:tcW w:type="dxa" w:w="2100"/>
            <w:shd w:fill="FBF9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Desde 800 €</w:t>
            </w:r>
          </w:p>
        </w:tc>
      </w:tr>
      <w:tr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Taller de gestión de plásticos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Sesión de 1,5 h / 3 h</w:t>
            </w:r>
          </w:p>
        </w:tc>
        <w:tc>
          <w:tcPr>
            <w:tcW w:type="dxa" w:w="2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Desde 600 € / 1.000 €</w:t>
            </w:r>
          </w:p>
        </w:tc>
      </w:tr>
      <w:tr>
        <w:tc>
          <w:tcPr>
            <w:tcW w:type="dxa" w:w="3600"/>
            <w:shd w:fill="FBF9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Jornada formativa en centro educativo</w:t>
            </w:r>
          </w:p>
        </w:tc>
        <w:tc>
          <w:tcPr>
            <w:tcW w:type="dxa" w:w="3600"/>
            <w:shd w:fill="FBF9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Sesión de 90 min</w:t>
            </w:r>
          </w:p>
        </w:tc>
        <w:tc>
          <w:tcPr>
            <w:tcW w:type="dxa" w:w="2100"/>
            <w:shd w:fill="FBF9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Desde 1.200 €</w:t>
            </w:r>
          </w:p>
        </w:tc>
      </w:tr>
      <w:tr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Campaña de sensibilización sobre cambio climático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Módulo + charlas escolares (≈ 1 semana)</w:t>
            </w:r>
          </w:p>
        </w:tc>
        <w:tc>
          <w:tcPr>
            <w:tcW w:type="dxa" w:w="2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Desde 6.500 €</w:t>
            </w:r>
          </w:p>
        </w:tc>
      </w:tr>
      <w:tr>
        <w:tc>
          <w:tcPr>
            <w:tcW w:type="dxa" w:w="3600"/>
            <w:shd w:fill="FBF9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Estrategia integral de concienciación ambiental</w:t>
            </w:r>
          </w:p>
        </w:tc>
        <w:tc>
          <w:tcPr>
            <w:tcW w:type="dxa" w:w="3600"/>
            <w:shd w:fill="FBF9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Campaña completa (calle + centros educativos)</w:t>
            </w:r>
          </w:p>
        </w:tc>
        <w:tc>
          <w:tcPr>
            <w:tcW w:type="dxa" w:w="2100"/>
            <w:shd w:fill="FBF9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Desde 11.000 €</w:t>
            </w:r>
          </w:p>
        </w:tc>
      </w:tr>
      <w:tr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Campaña de comercio y hostelería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Hasta 75 establecimientos</w:t>
            </w:r>
          </w:p>
        </w:tc>
        <w:tc>
          <w:tcPr>
            <w:tcW w:type="dxa" w:w="2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9"/>
                <w:szCs w:val="19"/>
              </w:rPr>
              <w:t xml:space="preserve">Desde 11.500 €</w:t>
            </w:r>
          </w:p>
        </w:tc>
      </w:tr>
    </w:tbl>
    <w:p>
      <w:pPr>
        <w:spacing w:before="200"/>
      </w:pPr>
    </w:p>
    <w:p>
      <w:pPr>
        <w:spacing w:after="160" w:line="288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3A3A3A"/>
          <w:sz w:val="21"/>
          <w:szCs w:val="21"/>
        </w:rPr>
        <w:t xml:space="preserve">Los importes son orientativos y pueden variar según el número de sesiones, participantes, duración, ubicación y materiales específicos requeridos por cada institución. Algunas acciones formativas pueden estar exentas de IVA.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3A3A3A"/>
          <w:sz w:val="21"/>
          <w:szCs w:val="21"/>
        </w:rPr>
        <w:t xml:space="preserve">Consejo: combinar varias líneas de servicio dentro de una misma estrategia (por ejemplo, módulo expositivo + centros escolares + comercio local) suele optimizar el presupuesto conjunto frente a contratarlas por separado en momentos distintos del año.</w:t>
      </w:r>
    </w:p>
    <w:p>
      <w:pPr>
        <w:pStyle w:val="Heading1"/>
        <w:pBdr>
          <w:bottom w:val="single" w:color="E85D04" w:sz="8" w:space="6"/>
        </w:pBdr>
        <w:spacing w:after="180" w:before="440"/>
      </w:pPr>
      <w:r>
        <w:rPr>
          <w:rFonts w:ascii="Calibri" w:cs="Calibri" w:eastAsia="Calibri" w:hAnsi="Calibri"/>
          <w:b/>
          <w:bCs/>
          <w:color w:val="E85D04"/>
          <w:sz w:val="30"/>
          <w:szCs w:val="30"/>
        </w:rPr>
        <w:t xml:space="preserve">Empecemos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E85D04" w:sz="6"/>
              <w:left w:val="single" w:color="E85D04" w:sz="6"/>
              <w:bottom w:val="single" w:color="E85D04" w:sz="6"/>
              <w:right w:val="single" w:color="E85D04" w:sz="6"/>
            </w:tcBorders>
            <w:shd w:fill="FBF3EA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40"/>
            </w:pPr>
            <w:r>
              <w:rPr>
                <w:rFonts w:ascii="Calibri" w:cs="Calibri" w:eastAsia="Calibri" w:hAnsi="Calibri"/>
                <w:b/>
                <w:bCs/>
                <w:color w:val="E85D04"/>
                <w:sz w:val="26"/>
                <w:szCs w:val="26"/>
              </w:rPr>
              <w:t xml:space="preserve">Solicite su propuesta a medida, sin compromiso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color w:val="3A3A3A"/>
                <w:sz w:val="21"/>
                <w:szCs w:val="21"/>
              </w:rPr>
              <w:t xml:space="preserve">1. Cuéntenos su reto — una breve llamada o reunión para entender el punto de partida de su municipio.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color w:val="3A3A3A"/>
                <w:sz w:val="21"/>
                <w:szCs w:val="21"/>
              </w:rPr>
              <w:t xml:space="preserve">2. Le preparamos una propuesta — servicios, calendario y presupuesto adaptados a su realidad y, si procede, a su convocatoria de subvención.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color w:val="3A3A3A"/>
                <w:sz w:val="21"/>
                <w:szCs w:val="21"/>
              </w:rPr>
              <w:t xml:space="preserve">3. Ejecutamos la campaña — nos encargamos de todo: diseño, materiales, dinamización y devolución de resultados.</w:t>
            </w:r>
          </w:p>
        </w:tc>
      </w:tr>
    </w:tbl>
    <w:p>
      <w:pPr>
        <w:pStyle w:val="Heading1"/>
        <w:pBdr>
          <w:bottom w:val="single" w:color="E85D04" w:sz="8" w:space="6"/>
        </w:pBdr>
        <w:spacing w:after="180" w:before="440"/>
      </w:pPr>
      <w:r>
        <w:rPr>
          <w:rFonts w:ascii="Calibri" w:cs="Calibri" w:eastAsia="Calibri" w:hAnsi="Calibri"/>
          <w:b/>
          <w:bCs/>
          <w:color w:val="E85D04"/>
          <w:sz w:val="30"/>
          <w:szCs w:val="30"/>
        </w:rPr>
        <w:t xml:space="preserve">Contacto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C4F3C"/>
          <w:sz w:val="26"/>
          <w:szCs w:val="26"/>
        </w:rPr>
        <w:t xml:space="preserve">INGURA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0B8A6B"/>
          <w:sz w:val="20"/>
          <w:szCs w:val="20"/>
        </w:rPr>
        <w:t xml:space="preserve">Ingurumen estrategiak eta ekintzak · Estrategia y acción medioambiental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5C4F3C"/>
          <w:sz w:val="21"/>
          <w:szCs w:val="21"/>
        </w:rPr>
        <w:t xml:space="preserve">Dirección: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Palatueta bidea 25C, 48600 Sopela (Bizkaia).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5C4F3C"/>
          <w:sz w:val="21"/>
          <w:szCs w:val="21"/>
        </w:rPr>
        <w:t xml:space="preserve">CIF: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J098128850.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5C4F3C"/>
          <w:sz w:val="21"/>
          <w:szCs w:val="21"/>
        </w:rPr>
        <w:t xml:space="preserve">Correo electrónico: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[a completar]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5C4F3C"/>
          <w:sz w:val="21"/>
          <w:szCs w:val="21"/>
        </w:rPr>
        <w:t xml:space="preserve">Teléfono: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[a completar]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5C4F3C"/>
          <w:sz w:val="21"/>
          <w:szCs w:val="21"/>
        </w:rPr>
        <w:t xml:space="preserve">Web / redes sociales: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[a completar]</w:t>
      </w:r>
    </w:p>
    <w:p>
      <w:pPr>
        <w:spacing w:before="300"/>
      </w:pPr>
    </w:p>
    <w:p>
      <w:pPr>
        <w:spacing w:after="16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1"/>
          <w:szCs w:val="21"/>
        </w:rPr>
        <w:t xml:space="preserve">Estaremos encantados de estudiar las necesidades específicas de su institución y preparar una propuesta a medida.</w:t>
      </w:r>
    </w:p>
    <w:sectPr>
      <w:headerReference w:type="default" r:id="rId7"/>
      <w:footerReference w:type="default" r:id="rId8"/>
      <w:pgSz w:w="11906" w:h="16838" w:orient="portrait"/>
      <w:pgMar w:top="12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E"/>
        <w:sz w:val="16"/>
        <w:szCs w:val="16"/>
      </w:rPr>
      <w:t xml:space="preserve">Página </w:t>
    </w:r>
    <w:r>
      <w:rPr>
        <w:rFonts w:ascii="Calibri" w:cs="Calibri" w:eastAsia="Calibri" w:hAnsi="Calibri"/>
        <w:color w:val="6E6E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E6E6E"/>
        <w:sz w:val="16"/>
        <w:szCs w:val="16"/>
      </w:rPr>
      <w:t xml:space="preserve"> de </w:t>
    </w:r>
    <w:r>
      <w:rPr>
        <w:rFonts w:ascii="Calibri" w:cs="Calibri" w:eastAsia="Calibri" w:hAnsi="Calibri"/>
        <w:color w:val="6E6E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CBA0" w:sz="4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5C4F3C"/>
        <w:sz w:val="18"/>
        <w:szCs w:val="18"/>
      </w:rPr>
      <w:t xml:space="preserve">INGURA</w:t>
    </w:r>
    <w:r>
      <w:rPr>
        <w:rFonts w:ascii="Calibri" w:cs="Calibri" w:eastAsia="Calibri" w:hAnsi="Calibri"/>
        <w:color w:val="6E6E6E"/>
        <w:sz w:val="18"/>
        <w:szCs w:val="18"/>
      </w:rPr>
      <w:t xml:space="preserve">	Catálogo de servicios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Calibri" w:cs="Calibri" w:eastAsia="Calibri" w:hAnsi="Calibri"/>
        <w:color w:val="0B8A6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A3A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b158088bf54a9f84f0fff5858c084c0e0dffad4.jpg"/><Relationship Id="rId10" Type="http://schemas.openxmlformats.org/officeDocument/2006/relationships/image" Target="media/6d01170b7dd3634a6cbafa01d5f2167ac9120619.jpg"/><Relationship Id="rId11" Type="http://schemas.openxmlformats.org/officeDocument/2006/relationships/image" Target="media/3f07cd8f73b6fee3b70c4535e978a2fd9fba3a79.jpg"/><Relationship Id="rId12" Type="http://schemas.openxmlformats.org/officeDocument/2006/relationships/image" Target="media/2968c20fb26674dd890f5e50883dbafa1b6b2a42.jpg"/><Relationship Id="rId13" Type="http://schemas.openxmlformats.org/officeDocument/2006/relationships/image" Target="media/e9589521b9971d9cbbea52a001863caf3c9f8cbe.jpg"/><Relationship Id="rId14" Type="http://schemas.openxmlformats.org/officeDocument/2006/relationships/image" Target="media/2f66d3b3de920cdcaf4c19f4a2c8c34211ffd8c2.jpg"/><Relationship Id="rId15" Type="http://schemas.openxmlformats.org/officeDocument/2006/relationships/image" Target="media/2c87d41a2af1733781af1b35520560755872d0ba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2026-08-16T23:17:53.073Z</dcterms:created>
  <dcterms:modified xsi:type="dcterms:W3CDTF">2026-08-16T23:17:53.084Z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