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3znysh7" w:id="3"/>
      <w:bookmarkEnd w:id="3"/>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&lt;04/16/2024&gt;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Jason Tutterow</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Project 3</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&lt;Write a summary to introduce the software design problem and present a solution. Be sure to provide the client with any critical information they must know in order to proceed with the process you are proposing.&gt;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rPr>
      </w:pPr>
      <w:bookmarkStart w:colFirst="0" w:colLast="0" w:name="_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1t3h5sf" w:id="7"/>
      <w:bookmarkEnd w:id="7"/>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&lt;Identify the design constraints for developing the game application in a web-based distributed environment and explain the implications of the design constraints on application development.&gt;</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4d34og8" w:id="8"/>
      <w:bookmarkEnd w:id="8"/>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2s8eyo1" w:id="9"/>
      <w:bookmarkEnd w:id="9"/>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&lt;Describe the UML class diagram provided below. Explain how the classes relate to each other. Identify any object-oriented programming principles that are demonstrated in the diagram and how they are used to fulfill the software requirements efficiently.&gt;</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17dp8vu" w:id="10"/>
      <w:bookmarkEnd w:id="10"/>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Strengths: Renowned for its stability and security, macOS is user-friendly for developers, offering an array of development tools natively.</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Limitations: Higher initial investment for hardware. Its usage as a server platform is less common compared to Linux and Windows, potentially limiting support and resources.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Server Deployment: Supports standard web hosting services, albeit with specific configurations.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Cost Implications: The primary expense is in the hardware procurement; the OS itself does not incur additional licensing fees.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Strengths: Open-source and highly customizable, Linux dominates web server environments with extensive community support. It’s known for scalability and cost-effectiveness, with many distributions available for free.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Limitations: Demands a steeper learning curve for effective administration and customization.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Server Deployment: Excellent support across a spectrum of web server technologies; the go-to choice for scalable web applications.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Cost Implications: Generally free, though some enterprise distributions charge for support services.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Strengths: Offers seamless integration with Microsoft technologies and services, backed by intuitive management tools. Ideal for .NET framework applications.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Limitations: Higher licensing fees; potential for greater security vulnerabilities.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Server Deployment: Utilizes Internet Information Services (IIS) for web hosting, supporting a wide range of web applications.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Cost Implications: Licensing costs can be significant, varying with the edition and scale of deployment.</w:t>
            </w:r>
          </w:p>
          <w:p w:rsidR="00000000" w:rsidDel="00000000" w:rsidP="00000000" w:rsidRDefault="00000000" w:rsidRPr="00000000" w14:paraId="00000059">
            <w:pPr>
              <w:rPr/>
            </w:pPr>
            <w:r w:rsidDel="00000000" w:rsidR="00000000" w:rsidRPr="00000000">
              <w:rPr>
                <w:rtl w:val="0"/>
              </w:rPr>
              <w:t xml:space="preserve">Mobile Devices</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Android devices are not designed for server-side hosting but rather function as clients that interact with applications hosted on servers. Therefore, evaluating Android for server-side capabilities does not apply.</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To ensure a seamless experience on Mac, the application must be responsive and perform well in Safari, with design elements that complement macOS's aesthetic standards.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Development for Linux requires testing on multiple distributions and browsers, emphasizing performance and adaptability to cater to its diverse user base.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For Windows, compatibility with Edge and a focus on accessibility are key, ensuring the application is intuitive across various versions of the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For Android, the focus is on ensuring performance and compatibility across a wide range of devices and screen sizes, particularly with Chrome, to accommodate the platform's fragmentation.</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Toolkit: Includes Xcode for native iOS applications and a variety of web development tools (e.g., Visual Studio Code, Atom).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Features a wide array of open-source development tools (e.g., Eclipse, Git).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Encompasses Visual Studio, .NET Framework, and SQL Server for comprehensive development capabilities.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Utilizes platform-specific IDEs like Android Studio and Xcode, along with cross-platform frameworks (React Native, Flutter).</w:t>
            </w:r>
            <w:r w:rsidDel="00000000" w:rsidR="00000000" w:rsidRPr="00000000">
              <w:rPr>
                <w:rtl w:val="0"/>
              </w:rPr>
            </w:r>
          </w:p>
        </w:tc>
      </w:tr>
    </w:tbl>
    <w:p w:rsidR="00000000" w:rsidDel="00000000" w:rsidP="00000000" w:rsidRDefault="00000000" w:rsidRPr="00000000" w14:paraId="00000065">
      <w:pP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Adopting a cloud-based platform such as AWS, Azure, or Google Cloud is highly recommended for the expansion of "Draw It or Lose It." These platforms excel in providing scalable, flexible environments that support the game’s operation across diverse computing devices, ensuring a seamless experience for players whether they are on PCs, smartphones, or tablets. </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Cloud platforms afford the flexibility to deploy the game on a variety of operating systems, including Linux and Windows. This adaptability is akin to being multilingual in the digital realm, offering the game accessibility to a broader audience without being constrained by specific system requirements.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Cloud-based storage solutions are suggested for managing the game’s data securely and efficiently. These services act as robust, scalable digital repositories that can be accessed from anywhere, providing a reliable backbone for storing game assets, player information, and more. </w:t>
      </w: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Cloud platforms are equipped with dynamic resource allocation and scaling capabilities, ensuring that "Draw It or Lose It" remains responsive and efficient under varying loads. This intelligent memory management facilitates optimal resource use, maintaining game performance across different user engagement levels.</w:t>
      </w: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Leveraging cloud infrastructure enables the game to operate on a distributed network, enhancing global accessibility and reducing latency for a worldwide player base. Cloud services come with advanced networking tools to manage connectivity, scale resources during peak times, and maintain consistent game performance, ensuring the game’s availability around the clock.</w:t>
      </w: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 Cloud platforms prioritize security with comprehensive measures designed to protect user data. Features such as data encryption, identity, and access management, and network security protocols are integral to safeguarding player information against unauthorized access and cyber threats, instilling confidence in the game’s safety among its user base. </w:t>
      </w: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