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85" w:rsidRPr="00732785" w:rsidRDefault="00732785" w:rsidP="0073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ПАРУСНОЕ СУДНО, судно, приводимое в движение энергией ветра с помощью парусов.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  В зависимости от размеров парусного судна на нём устанавливается от 1 до 7 мачт; парусное судно различаются также парусным вооружением. Важными характеристиками ходовых и манёвренных качеств парусного судна являются общая площадь его парусов (наз. парусностью) и положение точки приложения равнодействующей сил воздействия ветра (центр парусности). Управляют парусным судном, согласованно действуя рулём и парусами: меняют курс, увеличивают или уменьшают скорость хода, останавливают продвижение парусного судна (судно "ложится в дрейф") и т. д.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  История парусного судна насчитывает св. 5 тыс. лет. Паруса применялись в Др. Египте, Финикии, Китае, Др. Греции, Др. Риме как вспомогательный источник движущей силы на гребных воен. и трансп. судах. В 10-13 вв. в скандинавских и средиземноморских странах появились суда (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дракары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, нефы,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караки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, каравеллы), которые в качестве главного движителя имели паруса.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  В Древней Руси в 9-14 вв. определились 2 района парусного судостроения: на севере (Новгород, побережье Белого м.) и на юге (Киев). На парусных судах (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лодьях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кочах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карабасах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) восточные славяне плавали по Белому, Баренцеву, Балтийскому и Чёрному морям, доходили до Царьграда (Константинополя) и выходили в Средиземное море.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  Развитие парусного судоходства, усовершенствование парусного вооружения, достижения судостроения и искусства управления парусами способствовали Великим географическим открытиям и расширению мировой торговли. В 16-17 вв. главные районы парусного судостроения перемещаются из Средиземноморья в страны Северного м. (Голландию, Англию). К началу 18 в. парусные суда получают повсеместное распространение и вытесняют гребные суда. В эпоху Петра I строились торг. парусные суда грузоподъёмностью в несколько сотен т и 100-пушечные линейные парусные корабли с экипажем около 800 чел.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  Наивысшего развития парусный флот достиг к середине 19 в., когда он составил основное ядро трансп., промыслового и воен. флотов. Так, грузоподъёмность грузовых парусных судов превысила 5000 т, валовая вместимость - 1500 регистровых т, экипаж -100 чел., скорость наиболее быстроходных парусных судов (клиперов) достигла 18 узлов (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ок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. 33 км/ч) и более. С распространением судов, приводимых в движение механическим. двигателями (пароходов и теплоходов), в конце 19 - начале 20 вв. парусные суда утратили своё значение основного трансп. средства. Современные парусные суда используют преим. в спортивных (яхты, швертботы), </w:t>
      </w:r>
      <w:bookmarkStart w:id="0" w:name="_GoBack"/>
      <w:r w:rsidRPr="00732785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anchor distT="0" distB="0" distL="0" distR="0" simplePos="0" relativeHeight="251659264" behindDoc="0" locked="0" layoutInCell="1" allowOverlap="0" wp14:anchorId="3526011B" wp14:editId="07F59171">
            <wp:simplePos x="0" y="0"/>
            <wp:positionH relativeFrom="margin">
              <wp:align>center</wp:align>
            </wp:positionH>
            <wp:positionV relativeFrom="line">
              <wp:posOffset>338455</wp:posOffset>
            </wp:positionV>
            <wp:extent cx="5324475" cy="3600450"/>
            <wp:effectExtent l="0" t="0" r="9525" b="0"/>
            <wp:wrapSquare wrapText="bothSides"/>
            <wp:docPr id="4" name="Picture 3" descr="http://flot7.narod.ru/img/tippar/par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ot7.narod.ru/img/tippar/paru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туристских и учебных целях.</w:t>
      </w:r>
    </w:p>
    <w:p w:rsidR="00732785" w:rsidRPr="00732785" w:rsidRDefault="00732785" w:rsidP="0073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Силуэты парусных судов: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1 - со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шпринтовым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 парусным вооружением;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2 - с рейковым парусным вооружением;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3 - с бермудским парусным вооружением;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4 - с латинским парусным вооружением;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5 - с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гафельным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 парусным вооружением;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6 - куттер;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7 -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люгер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8 - шхуна-бриг;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9 - двухмачтовая шхуна;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10 - бригантина;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11 - бриг;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12 - трёхмачтовая шхуна;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13 -· шхуна-барк;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14 -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баркентина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15 - трёхмачтовый барк;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16 - фрегат;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17 - четырёхмачтовый барк;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18 - четырёхмачтовый корабль;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19 - пятимачтовый барк. 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 </w:t>
      </w:r>
    </w:p>
    <w:p w:rsidR="00732785" w:rsidRPr="00732785" w:rsidRDefault="00732785" w:rsidP="0073278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32785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E05498B" wp14:editId="53F98B7E">
            <wp:extent cx="3990975" cy="3314700"/>
            <wp:effectExtent l="0" t="0" r="9525" b="0"/>
            <wp:docPr id="3" name="Picture 2" descr="http://flot7.narod.ru/img/tippar/pa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ot7.narod.ru/img/tippar/pa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85" w:rsidRPr="00732785" w:rsidRDefault="00732785" w:rsidP="0073278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Типы парусного вооружения: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1 - прямое с пятью реями;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2-7 - </w:t>
      </w:r>
      <w:proofErr w:type="gram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косое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(</w:t>
      </w:r>
      <w:proofErr w:type="gram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2 -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гафельное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3 - рейковое,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4 -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шпринтовое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5 - португальское,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>6 - латинское,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7 - бермудское). </w:t>
      </w:r>
    </w:p>
    <w:p w:rsidR="00732785" w:rsidRPr="00732785" w:rsidRDefault="00732785" w:rsidP="00732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  ПАРУСНОЕ ВООРУЖЕНИЕ судна, совокупность элементов оснастки парусного судна (парусов, рангоута и такелажа).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  Тип парусного вооружения определяется формой парусов (прямое, косое, смешанное), элементами рангоута и парусов (рейковое,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шпринтовое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, или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шпрюйтовое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гафельное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, разрезное), районом распространения (латинское, бермудское, португальское и др.) или типом судна, на котором оно применяется (напр., парусное вооружение барка, парусное вооружение иола).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  Судно с прямым парусным вооружение несёт на всех мачтах прямые паруса (бриг, фрегат, </w:t>
      </w:r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корабль), с косым парусным вооружение- косые (кеч, иол, шхуна), а на судне со смешанным парусным вооружение прямые и косые паруса сочетаются на одной мачте или на разных мачтах (шхуна-бриг, бригантина,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баркентина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, барк). От типа парусного вооружения зависят ходовые и манёвренные качества парусного судна (способность "поймать" ветер, идти круто к ветру, лежать в дрейфе), удобство постановки и уборки парусов, управления ими для смены курса или перемены </w:t>
      </w:r>
      <w:proofErr w:type="spellStart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>галса</w:t>
      </w:r>
      <w:proofErr w:type="spellEnd"/>
      <w:r w:rsidRPr="00732785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лавировании.</w:t>
      </w:r>
    </w:p>
    <w:p w:rsidR="00062229" w:rsidRDefault="00732785"/>
    <w:sectPr w:rsidR="000622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79"/>
    <w:rsid w:val="00343ACD"/>
    <w:rsid w:val="003C5A32"/>
    <w:rsid w:val="006808C4"/>
    <w:rsid w:val="00732785"/>
    <w:rsid w:val="00975388"/>
    <w:rsid w:val="00B94479"/>
    <w:rsid w:val="00C64157"/>
    <w:rsid w:val="00D31A78"/>
    <w:rsid w:val="00D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9BDB-7876-479B-8F3C-D0A6D2A2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2019-03-10T18:39:00Z</dcterms:created>
  <dcterms:modified xsi:type="dcterms:W3CDTF">2019-03-10T18:39:00Z</dcterms:modified>
</cp:coreProperties>
</file>