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7384CD">
      <w:pPr>
        <w:spacing w:after="120"/>
        <w:jc w:val="center"/>
      </w:pPr>
      <w:r>
        <w:rPr>
          <w:rFonts w:ascii="微软雅黑" w:hAnsi="微软雅黑" w:eastAsia="微软雅黑" w:cs="微软雅黑"/>
          <w:b/>
          <w:bCs/>
          <w:color w:val="1A1A2E"/>
          <w:sz w:val="52"/>
          <w:szCs w:val="52"/>
        </w:rPr>
        <w:t>城市不夜，劳动不止</w:t>
      </w:r>
    </w:p>
    <w:p w14:paraId="63A3C529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E8891C"/>
          <w:sz w:val="32"/>
          <w:szCs w:val="32"/>
        </w:rPr>
        <w:t>中国城市夜间劳动者全景调查</w:t>
      </w:r>
    </w:p>
    <w:p w14:paraId="19BA1F80">
      <w:pPr>
        <w:pBdr>
          <w:bottom w:val="single" w:color="C4902A" w:sz="2" w:space="0"/>
        </w:pBdr>
        <w:spacing w:after="400"/>
      </w:pPr>
    </w:p>
    <w:p w14:paraId="176E9E05">
      <w:pPr>
        <w:spacing w:before="200" w:after="300"/>
        <w:jc w:val="center"/>
      </w:pPr>
      <w:r>
        <w:drawing>
          <wp:inline distT="0" distB="0" distL="0" distR="0">
            <wp:extent cx="4034155" cy="348742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4155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C629">
      <w:pPr>
        <w:spacing w:before="120" w:after="120"/>
        <w:ind w:firstLine="440"/>
      </w:pPr>
      <w:r>
        <w:rPr>
          <w:color w:val="1A1A2E"/>
          <w:sz w:val="22"/>
          <w:szCs w:val="22"/>
        </w:rPr>
        <w:t>当白日的喧嚣缓缓褪去，万家灯火点亮城市夜空，多数人结束一天的工作，而整座城市依旧有序运转。夜间劳动者是城市里默默付出的隐形群体，他们昼夜奔波、颠倒作息，全力支撑民生服务、公共安全与夜间经济发展。</w:t>
      </w:r>
    </w:p>
    <w:p w14:paraId="49E85BBC">
      <w:pPr>
        <w:spacing w:before="120" w:after="120"/>
        <w:ind w:firstLine="440"/>
      </w:pPr>
      <w:r>
        <w:rPr>
          <w:color w:val="1A1A2E"/>
          <w:sz w:val="22"/>
          <w:szCs w:val="22"/>
        </w:rPr>
        <w:t>如今，夜间劳动早已不再是小众职业，而是渗透各行各业的普遍就业形态。</w:t>
      </w:r>
    </w:p>
    <w:p w14:paraId="038E9BAC">
      <w:pPr>
        <w:spacing w:before="120" w:after="120"/>
        <w:ind w:firstLine="440"/>
      </w:pPr>
      <w:r>
        <w:rPr>
          <w:color w:val="1A1A2E"/>
          <w:sz w:val="22"/>
          <w:szCs w:val="22"/>
        </w:rPr>
        <w:t>本篇报道依托国家部委、头部平台及第三方机构 2025 年调研数据，绘制</w:t>
      </w:r>
      <w:r>
        <w:rPr>
          <w:rFonts w:hint="eastAsia"/>
          <w:color w:val="1A1A2E"/>
          <w:sz w:val="22"/>
          <w:szCs w:val="22"/>
          <w:lang w:val="en-US" w:eastAsia="zh-CN"/>
        </w:rPr>
        <w:t>了</w:t>
      </w:r>
      <w:r>
        <w:rPr>
          <w:color w:val="1A1A2E"/>
          <w:sz w:val="22"/>
          <w:szCs w:val="22"/>
        </w:rPr>
        <w:t>一张完整的城市夜间劳动地图。我们将从群体规模、行业分布、空间布局三大维度勾勒从业者全貌，深入剖析其工作强度、薪酬待遇、健康风险与权益保障现状，让夜色中的每一份劳动被看见、被关注、被善待。</w:t>
      </w:r>
    </w:p>
    <w:p w14:paraId="14DBCCCB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C4902A"/>
          <w:sz w:val="36"/>
          <w:szCs w:val="36"/>
        </w:rPr>
        <w:t xml:space="preserve">一  </w:t>
      </w: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全景扫描：城市夜间劳动者群体画像</w:t>
      </w:r>
    </w:p>
    <w:p w14:paraId="0B9FEC6B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1.1  群体规模：两千万量级的夜间坚守大军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2045B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78DFB13E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1800万</w:t>
            </w:r>
          </w:p>
          <w:p w14:paraId="02C3BF43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劳动者规模下限</w:t>
            </w:r>
          </w:p>
        </w:tc>
        <w:tc>
          <w:tcPr>
            <w:tcW w:w="300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699B7A3C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~2200万</w:t>
            </w:r>
          </w:p>
          <w:p w14:paraId="4065E9C1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劳动者规模上限</w:t>
            </w:r>
          </w:p>
        </w:tc>
        <w:tc>
          <w:tcPr>
            <w:tcW w:w="300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15C8F157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70%</w:t>
            </w:r>
          </w:p>
          <w:p w14:paraId="5FAB9024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交通运输与配送占比</w:t>
            </w:r>
          </w:p>
        </w:tc>
      </w:tr>
    </w:tbl>
    <w:p w14:paraId="0DC776CF">
      <w:pPr>
        <w:spacing w:before="100" w:after="0"/>
      </w:pPr>
    </w:p>
    <w:p w14:paraId="3D295D57">
      <w:pPr>
        <w:spacing w:before="120" w:after="120"/>
        <w:ind w:firstLine="440"/>
      </w:pPr>
      <w:r>
        <w:rPr>
          <w:color w:val="1A1A2E"/>
          <w:sz w:val="22"/>
          <w:szCs w:val="22"/>
        </w:rPr>
        <w:t xml:space="preserve">伴随夜间经济扩容与平台经济发展，我国城市夜间劳动者已形成庞大队伍。综合各部门、行业协会及平台 2025 年数据测算，全国夜间劳动者规模约 </w:t>
      </w:r>
      <w:r>
        <w:rPr>
          <w:b/>
          <w:bCs/>
          <w:color w:val="C4902A"/>
          <w:sz w:val="24"/>
          <w:szCs w:val="24"/>
        </w:rPr>
        <w:t>1800 万—2200 万人</w:t>
      </w:r>
      <w:r>
        <w:rPr>
          <w:color w:val="1A1A2E"/>
          <w:sz w:val="22"/>
          <w:szCs w:val="22"/>
        </w:rPr>
        <w:t xml:space="preserve">。各行业从业人数差距悬殊，其中交通运输与配送行业占比达 </w:t>
      </w:r>
      <w:r>
        <w:rPr>
          <w:b/>
          <w:bCs/>
          <w:color w:val="C4902A"/>
          <w:sz w:val="24"/>
          <w:szCs w:val="24"/>
        </w:rPr>
        <w:t>70%</w:t>
      </w:r>
      <w:r>
        <w:rPr>
          <w:color w:val="1A1A2E"/>
          <w:sz w:val="22"/>
          <w:szCs w:val="22"/>
        </w:rPr>
        <w:t>，是夜间经济的核心支撑。医疗卫生、公共安全、餐饮住宿、商业零售、文体娱乐、制造生产等行业依次分布。整体来看，夜间劳动队伍体量庞大，人员高度集中于头部行业。</w:t>
      </w:r>
    </w:p>
    <w:p w14:paraId="22C164A0">
      <w:pPr>
        <w:spacing w:before="200" w:after="120"/>
        <w:jc w:val="center"/>
      </w:pPr>
      <w:r>
        <w:drawing>
          <wp:inline distT="0" distB="0" distL="0" distR="0">
            <wp:extent cx="4953000" cy="3048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07DD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七大行业夜间从业者人数分布</w:t>
      </w:r>
    </w:p>
    <w:p w14:paraId="52A983CD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1.2  行业分布：七大行业协同，撑起城市夜间运转</w:t>
      </w:r>
    </w:p>
    <w:p w14:paraId="0F8531BC">
      <w:pPr>
        <w:spacing w:before="120" w:after="120"/>
        <w:ind w:firstLine="440"/>
      </w:pPr>
      <w:r>
        <w:rPr>
          <w:color w:val="1A1A2E"/>
          <w:sz w:val="22"/>
          <w:szCs w:val="22"/>
        </w:rPr>
        <w:t>七大行业的夜间用工活跃度各有不同。</w:t>
      </w:r>
      <w:r>
        <w:rPr>
          <w:b/>
          <w:bCs/>
          <w:color w:val="C4902A"/>
          <w:sz w:val="24"/>
          <w:szCs w:val="24"/>
        </w:rPr>
        <w:t>文体娱乐服务</w:t>
      </w:r>
      <w:r>
        <w:rPr>
          <w:color w:val="1A1A2E"/>
          <w:sz w:val="22"/>
          <w:szCs w:val="22"/>
        </w:rPr>
        <w:t xml:space="preserve">夜间从业占比最高，达 </w:t>
      </w:r>
      <w:r>
        <w:rPr>
          <w:b/>
          <w:bCs/>
          <w:color w:val="C4902A"/>
          <w:sz w:val="24"/>
          <w:szCs w:val="24"/>
        </w:rPr>
        <w:t>68%</w:t>
      </w:r>
      <w:r>
        <w:rPr>
          <w:color w:val="1A1A2E"/>
          <w:sz w:val="22"/>
          <w:szCs w:val="22"/>
        </w:rPr>
        <w:t>，但整体从业人数偏少；</w:t>
      </w:r>
      <w:r>
        <w:rPr>
          <w:b/>
          <w:bCs/>
          <w:color w:val="C4902A"/>
          <w:sz w:val="24"/>
          <w:szCs w:val="24"/>
        </w:rPr>
        <w:t>交通运输与配送</w:t>
      </w:r>
      <w:r>
        <w:rPr>
          <w:color w:val="1A1A2E"/>
          <w:sz w:val="22"/>
          <w:szCs w:val="22"/>
        </w:rPr>
        <w:t xml:space="preserve">行业夜间从业占比 </w:t>
      </w:r>
      <w:r>
        <w:rPr>
          <w:b/>
          <w:bCs/>
          <w:color w:val="C4902A"/>
          <w:sz w:val="24"/>
          <w:szCs w:val="24"/>
        </w:rPr>
        <w:t>58%</w:t>
      </w:r>
      <w:r>
        <w:rPr>
          <w:color w:val="1A1A2E"/>
          <w:sz w:val="22"/>
          <w:szCs w:val="22"/>
        </w:rPr>
        <w:t>，凭借庞大的人员基数，成为夜间从业人数最多的领域；</w:t>
      </w:r>
      <w:r>
        <w:rPr>
          <w:b/>
          <w:bCs/>
          <w:color w:val="C4902A"/>
          <w:sz w:val="24"/>
          <w:szCs w:val="24"/>
        </w:rPr>
        <w:t>制造与生产服务</w:t>
      </w:r>
      <w:r>
        <w:rPr>
          <w:color w:val="1A1A2E"/>
          <w:sz w:val="22"/>
          <w:szCs w:val="22"/>
        </w:rPr>
        <w:t xml:space="preserve">夜间从业占比最低，仅 </w:t>
      </w:r>
      <w:r>
        <w:rPr>
          <w:b/>
          <w:bCs/>
          <w:color w:val="C4902A"/>
          <w:sz w:val="24"/>
          <w:szCs w:val="24"/>
        </w:rPr>
        <w:t>25%</w:t>
      </w:r>
      <w:r>
        <w:rPr>
          <w:color w:val="1A1A2E"/>
          <w:sz w:val="22"/>
          <w:szCs w:val="22"/>
        </w:rPr>
        <w:t>，该群体虽夜班占比不高，但工作强度较大，权益保障体系相对完善。七大行业各司其职、协同配合，构筑起城市夜间运转的完整体系。</w:t>
      </w:r>
    </w:p>
    <w:p w14:paraId="04C3D241">
      <w:pPr>
        <w:spacing w:before="200" w:after="120"/>
        <w:jc w:val="center"/>
      </w:pPr>
      <w:r>
        <w:drawing>
          <wp:inline distT="0" distB="0" distL="0" distR="0">
            <wp:extent cx="4953000" cy="3048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53E8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七大行业夜间从业者占比</w:t>
      </w:r>
    </w:p>
    <w:p w14:paraId="6AD45FEC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1.3  空间分布：一线及新一线成夜间劳动核心聚集地</w:t>
      </w:r>
    </w:p>
    <w:p w14:paraId="606409C0">
      <w:pPr>
        <w:spacing w:before="120" w:after="120"/>
        <w:ind w:firstLine="440"/>
      </w:pPr>
      <w:r>
        <w:rPr>
          <w:color w:val="1A1A2E"/>
          <w:sz w:val="22"/>
          <w:szCs w:val="22"/>
        </w:rPr>
        <w:t>结合 2025 年中国城市夜经济指数、各地就业统计及从业者密度数据来看，全国夜间劳动者呈现头部城市集聚、区域发展不均的特征。以从业者密度（人/平方公里）衡量，</w:t>
      </w:r>
      <w:r>
        <w:rPr>
          <w:b/>
          <w:bCs/>
          <w:color w:val="C4902A"/>
          <w:sz w:val="24"/>
          <w:szCs w:val="24"/>
        </w:rPr>
        <w:t>上海</w:t>
      </w:r>
      <w:r>
        <w:rPr>
          <w:color w:val="1A1A2E"/>
          <w:sz w:val="22"/>
          <w:szCs w:val="22"/>
        </w:rPr>
        <w:t xml:space="preserve">以约 </w:t>
      </w:r>
      <w:r>
        <w:rPr>
          <w:b/>
          <w:bCs/>
          <w:color w:val="C4902A"/>
          <w:sz w:val="24"/>
          <w:szCs w:val="24"/>
        </w:rPr>
        <w:t>1600 人/平方公里</w:t>
      </w:r>
      <w:r>
        <w:rPr>
          <w:color w:val="1A1A2E"/>
          <w:sz w:val="22"/>
          <w:szCs w:val="22"/>
        </w:rPr>
        <w:t>居全国首位，深圳、广州紧随其后；北京、重庆、成都、杭州构成第二梯队。不难看出，城市夜间劳动者的分布密度，与当地经济水平、夜间经济繁荣程度紧密相关。</w:t>
      </w:r>
    </w:p>
    <w:p w14:paraId="136BFF72">
      <w:pPr>
        <w:spacing w:before="200" w:after="120"/>
        <w:jc w:val="center"/>
      </w:pPr>
      <w:r>
        <w:drawing>
          <wp:inline distT="0" distB="0" distL="0" distR="0">
            <wp:extent cx="4953000" cy="3048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4116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城市夜间劳动者密度排名（人/平方公里）</w:t>
      </w:r>
    </w:p>
    <w:p w14:paraId="776A724A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C4902A"/>
          <w:sz w:val="36"/>
          <w:szCs w:val="36"/>
        </w:rPr>
        <w:t xml:space="preserve">二  </w:t>
      </w: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深度挖掘：夜间劳动的现状与困境</w:t>
      </w:r>
    </w:p>
    <w:p w14:paraId="3DE59AB6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2.1  工作强度：昼夜颠倒的时间消耗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1C5F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4FD6183C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10.5h</w:t>
            </w:r>
          </w:p>
          <w:p w14:paraId="30C09A24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日均工作时长</w:t>
            </w:r>
          </w:p>
        </w:tc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07D0C88E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6.3天</w:t>
            </w:r>
          </w:p>
          <w:p w14:paraId="4E98FBD6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每周工作天数</w:t>
            </w:r>
          </w:p>
        </w:tc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1CA5A79B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3.8天</w:t>
            </w:r>
          </w:p>
          <w:p w14:paraId="07B5551F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每月休息天数</w:t>
            </w:r>
          </w:p>
        </w:tc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2FBE9346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35%</w:t>
            </w:r>
          </w:p>
          <w:p w14:paraId="658E67EF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兼任多份工作</w:t>
            </w:r>
          </w:p>
        </w:tc>
      </w:tr>
    </w:tbl>
    <w:p w14:paraId="1A91A446">
      <w:pPr>
        <w:spacing w:before="100" w:after="0"/>
      </w:pPr>
    </w:p>
    <w:p w14:paraId="618148D3">
      <w:pPr>
        <w:spacing w:before="120" w:after="120"/>
        <w:ind w:firstLine="440"/>
      </w:pPr>
      <w:r>
        <w:rPr>
          <w:color w:val="1A1A2E"/>
          <w:sz w:val="22"/>
          <w:szCs w:val="22"/>
        </w:rPr>
        <w:t xml:space="preserve">高强度工作是夜间从业者的普遍现状。数据显示，夜间劳动者日均工作时长 </w:t>
      </w:r>
      <w:r>
        <w:rPr>
          <w:b/>
          <w:bCs/>
          <w:color w:val="C4902A"/>
          <w:sz w:val="24"/>
          <w:szCs w:val="24"/>
        </w:rPr>
        <w:t>10.5 小时</w:t>
      </w:r>
      <w:r>
        <w:rPr>
          <w:color w:val="1A1A2E"/>
          <w:sz w:val="22"/>
          <w:szCs w:val="22"/>
        </w:rPr>
        <w:t xml:space="preserve">，每周工作 </w:t>
      </w:r>
      <w:r>
        <w:rPr>
          <w:b/>
          <w:bCs/>
          <w:color w:val="C4902A"/>
          <w:sz w:val="24"/>
          <w:szCs w:val="24"/>
        </w:rPr>
        <w:t>6.3 天</w:t>
      </w:r>
      <w:r>
        <w:rPr>
          <w:color w:val="1A1A2E"/>
          <w:sz w:val="22"/>
          <w:szCs w:val="22"/>
        </w:rPr>
        <w:t xml:space="preserve">，每月仅休息 </w:t>
      </w:r>
      <w:r>
        <w:rPr>
          <w:b/>
          <w:bCs/>
          <w:color w:val="C4902A"/>
          <w:sz w:val="24"/>
          <w:szCs w:val="24"/>
        </w:rPr>
        <w:t>3.8 天</w:t>
      </w:r>
      <w:r>
        <w:rPr>
          <w:color w:val="1A1A2E"/>
          <w:sz w:val="22"/>
          <w:szCs w:val="22"/>
        </w:rPr>
        <w:t>。超七成从业者夜间连续工作时长超过 4 小时，</w:t>
      </w:r>
      <w:r>
        <w:rPr>
          <w:b/>
          <w:bCs/>
          <w:color w:val="C4902A"/>
          <w:sz w:val="24"/>
          <w:szCs w:val="24"/>
        </w:rPr>
        <w:t>35%</w:t>
      </w:r>
      <w:r>
        <w:rPr>
          <w:color w:val="1A1A2E"/>
          <w:sz w:val="22"/>
          <w:szCs w:val="22"/>
        </w:rPr>
        <w:t xml:space="preserve"> 的人员同时兼任多份工作，长期超负荷劳作成为常态。</w:t>
      </w:r>
    </w:p>
    <w:p w14:paraId="3DF070DC">
      <w:pPr>
        <w:spacing w:before="200" w:after="120"/>
        <w:jc w:val="center"/>
      </w:pPr>
      <w:r>
        <w:drawing>
          <wp:inline distT="0" distB="0" distL="0" distR="0">
            <wp:extent cx="4953000" cy="30480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FB431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夜间劳动者工作强度数据</w:t>
      </w:r>
    </w:p>
    <w:p w14:paraId="725AED91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2.2  收入与补贴：付出与回报难成正比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2250"/>
        <w:gridCol w:w="2250"/>
        <w:gridCol w:w="2250"/>
      </w:tblGrid>
      <w:tr w14:paraId="457FC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4D39FF1B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¥6200</w:t>
            </w:r>
          </w:p>
          <w:p w14:paraId="2146500D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月均收入</w:t>
            </w:r>
          </w:p>
        </w:tc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4DA15D79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低于均值</w:t>
            </w:r>
          </w:p>
          <w:p w14:paraId="7E976D96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对比城镇非私营</w:t>
            </w:r>
          </w:p>
        </w:tc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78CB8C7F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医疗最高</w:t>
            </w:r>
          </w:p>
          <w:p w14:paraId="4A77342C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行业薪资排名</w:t>
            </w:r>
          </w:p>
        </w:tc>
        <w:tc>
          <w:tcPr>
            <w:tcW w:w="225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5DF0BBC5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零售最低</w:t>
            </w:r>
          </w:p>
          <w:p w14:paraId="6526A92D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行业薪资排名</w:t>
            </w:r>
          </w:p>
        </w:tc>
      </w:tr>
    </w:tbl>
    <w:p w14:paraId="44A4DEA6">
      <w:pPr>
        <w:spacing w:before="100" w:after="0"/>
      </w:pPr>
    </w:p>
    <w:p w14:paraId="670959C3">
      <w:pPr>
        <w:spacing w:before="120" w:after="120"/>
        <w:ind w:firstLine="440"/>
      </w:pPr>
      <w:r>
        <w:rPr>
          <w:color w:val="1A1A2E"/>
          <w:sz w:val="22"/>
          <w:szCs w:val="22"/>
        </w:rPr>
        <w:t xml:space="preserve">夜间劳动者整体月均收入约 </w:t>
      </w:r>
      <w:r>
        <w:rPr>
          <w:b/>
          <w:bCs/>
          <w:color w:val="C4902A"/>
          <w:sz w:val="24"/>
          <w:szCs w:val="24"/>
        </w:rPr>
        <w:t>6200 元</w:t>
      </w:r>
      <w:r>
        <w:rPr>
          <w:color w:val="1A1A2E"/>
          <w:sz w:val="22"/>
          <w:szCs w:val="22"/>
        </w:rPr>
        <w:t>，低于全国城镇非私营单位就业人员平均工资。行业间收入差距显著，医疗卫生服务岗位薪资最高，商业零售服务岗位薪资最低。夜班补贴的分配同样不均衡，医疗、制造行业补贴覆盖率高、标准规范，而多数平台配送、网约车岗位</w:t>
      </w:r>
      <w:r>
        <w:rPr>
          <w:b/>
          <w:bCs/>
          <w:color w:val="E8891C"/>
          <w:sz w:val="24"/>
          <w:szCs w:val="24"/>
        </w:rPr>
        <w:t>尚未建立标准化的夜班津贴制度</w:t>
      </w:r>
      <w:r>
        <w:rPr>
          <w:color w:val="1A1A2E"/>
          <w:sz w:val="22"/>
          <w:szCs w:val="22"/>
        </w:rPr>
        <w:t>。</w:t>
      </w:r>
    </w:p>
    <w:p w14:paraId="7625B65A">
      <w:pPr>
        <w:spacing w:before="200" w:after="120"/>
        <w:jc w:val="center"/>
      </w:pPr>
      <w:r>
        <w:drawing>
          <wp:inline distT="0" distB="0" distL="0" distR="0">
            <wp:extent cx="4953000" cy="30480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FC3C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月均收入与行业收入对比</w:t>
      </w:r>
    </w:p>
    <w:p w14:paraId="248A0873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2.3  健康与权益：不容忽视的隐形损耗</w:t>
      </w:r>
    </w:p>
    <w:p w14:paraId="36113801">
      <w:pPr>
        <w:spacing w:before="120" w:after="120"/>
        <w:ind w:firstLine="440"/>
      </w:pPr>
      <w:r>
        <w:rPr>
          <w:color w:val="1A1A2E"/>
          <w:sz w:val="22"/>
          <w:szCs w:val="22"/>
        </w:rPr>
        <w:t>长期昼夜颠倒的作息，对劳动者身体健康造成明显影响。夜间从业者患上</w:t>
      </w:r>
      <w:r>
        <w:rPr>
          <w:b/>
          <w:bCs/>
          <w:color w:val="E8891C"/>
          <w:sz w:val="24"/>
          <w:szCs w:val="24"/>
        </w:rPr>
        <w:t>睡眠障碍、肠胃疾病、焦虑抑郁</w:t>
      </w:r>
      <w:r>
        <w:rPr>
          <w:color w:val="1A1A2E"/>
          <w:sz w:val="22"/>
          <w:szCs w:val="22"/>
        </w:rPr>
        <w:t>等问题的概率，远高于白班人群。在权益保障层面，不同岗位保障水平参差不齐，劳动合同、社保、工伤保险的覆盖率有待提升，新就业形态从业者的职业健康保障更是短板突出。</w:t>
      </w:r>
    </w:p>
    <w:p w14:paraId="288D30A8">
      <w:pPr>
        <w:spacing w:before="200" w:after="120"/>
        <w:jc w:val="center"/>
      </w:pPr>
      <w:r>
        <w:drawing>
          <wp:inline distT="0" distB="0" distL="0" distR="0">
            <wp:extent cx="4953000" cy="30480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7E9C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夜间从业者健康风险数据</w:t>
      </w:r>
    </w:p>
    <w:p w14:paraId="4D7AEC0A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C4902A"/>
          <w:sz w:val="36"/>
          <w:szCs w:val="36"/>
        </w:rPr>
        <w:t xml:space="preserve">三  </w:t>
      </w: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对比与反思：夜间劳动的价值与保障缺口</w:t>
      </w:r>
    </w:p>
    <w:p w14:paraId="4C9E4D18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3.1  横向对比：城市分布差异显著</w:t>
      </w:r>
    </w:p>
    <w:p w14:paraId="13ECFD34">
      <w:pPr>
        <w:spacing w:before="120" w:after="120"/>
        <w:ind w:firstLine="440"/>
      </w:pPr>
      <w:r>
        <w:rPr>
          <w:color w:val="1A1A2E"/>
          <w:sz w:val="22"/>
          <w:szCs w:val="22"/>
        </w:rPr>
        <w:t>从夜间从业者占当地就业总人口的比例来看，上海、深圳、广州、北京等一线及新一线城市位居前列。这类城市夜经济活力强劲，夜间劳动需求旺盛。城市排名的差距，也直观反映出国内夜间产业发展的区域不均衡问题。</w:t>
      </w:r>
    </w:p>
    <w:p w14:paraId="017E6D1B">
      <w:pPr>
        <w:spacing w:before="200" w:after="120"/>
        <w:jc w:val="center"/>
      </w:pPr>
      <w:bookmarkStart w:id="0" w:name="_GoBack"/>
      <w:r>
        <w:drawing>
          <wp:inline distT="0" distB="0" distL="0" distR="0">
            <wp:extent cx="3417570" cy="3048000"/>
            <wp:effectExtent l="0" t="0" r="1143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EAE4884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城市夜间从业者占比排名</w:t>
      </w:r>
    </w:p>
    <w:p w14:paraId="3F957C8B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3.2  纵向对比：群体规模持续扩张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000"/>
      </w:tblGrid>
      <w:tr w14:paraId="6407C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3BAB2EBD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890万</w:t>
            </w:r>
          </w:p>
          <w:p w14:paraId="559B7555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2019年规模</w:t>
            </w:r>
          </w:p>
        </w:tc>
        <w:tc>
          <w:tcPr>
            <w:tcW w:w="300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69427321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2100万</w:t>
            </w:r>
          </w:p>
          <w:p w14:paraId="64D0C40F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2025年规模</w:t>
            </w:r>
          </w:p>
        </w:tc>
        <w:tc>
          <w:tcPr>
            <w:tcW w:w="3000" w:type="dxa"/>
            <w:tcBorders>
              <w:top w:val="single" w:color="E0D5C0" w:sz="0" w:space="0"/>
              <w:left w:val="single" w:color="E0D5C0" w:sz="0" w:space="0"/>
              <w:bottom w:val="single" w:color="E0D5C0" w:sz="0" w:space="0"/>
              <w:right w:val="single" w:color="E0D5C0" w:sz="0" w:space="0"/>
            </w:tcBorders>
            <w:shd w:val="clear" w:color="auto" w:fill="FFF8EC"/>
            <w:vAlign w:val="center"/>
          </w:tcPr>
          <w:p w14:paraId="6A41BB3A">
            <w:pPr>
              <w:spacing w:before="10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C4902A"/>
                <w:sz w:val="36"/>
                <w:szCs w:val="36"/>
              </w:rPr>
              <w:t>2.4倍</w:t>
            </w:r>
          </w:p>
          <w:p w14:paraId="6E763989">
            <w:pPr>
              <w:spacing w:before="0" w:after="100"/>
              <w:jc w:val="center"/>
            </w:pPr>
            <w:r>
              <w:rPr>
                <w:rFonts w:ascii="微软雅黑" w:hAnsi="微软雅黑" w:eastAsia="微软雅黑" w:cs="微软雅黑"/>
                <w:color w:val="666666"/>
                <w:sz w:val="18"/>
                <w:szCs w:val="18"/>
              </w:rPr>
              <w:t>七年增幅</w:t>
            </w:r>
          </w:p>
        </w:tc>
      </w:tr>
    </w:tbl>
    <w:p w14:paraId="2E0AF263">
      <w:pPr>
        <w:spacing w:before="100" w:after="0"/>
      </w:pPr>
    </w:p>
    <w:p w14:paraId="566CA388">
      <w:pPr>
        <w:spacing w:before="120" w:after="120"/>
        <w:ind w:firstLine="440"/>
      </w:pPr>
      <w:r>
        <w:rPr>
          <w:color w:val="1A1A2E"/>
          <w:sz w:val="22"/>
          <w:szCs w:val="22"/>
        </w:rPr>
        <w:t xml:space="preserve">2019 至 2025 年，国内夜间经济规模稳步增长，夜间劳动者数量从 </w:t>
      </w:r>
      <w:r>
        <w:rPr>
          <w:b/>
          <w:bCs/>
          <w:color w:val="C4902A"/>
          <w:sz w:val="24"/>
          <w:szCs w:val="24"/>
        </w:rPr>
        <w:t>890 万人</w:t>
      </w:r>
      <w:r>
        <w:rPr>
          <w:color w:val="1A1A2E"/>
          <w:sz w:val="22"/>
          <w:szCs w:val="22"/>
        </w:rPr>
        <w:t xml:space="preserve">增长至 </w:t>
      </w:r>
      <w:r>
        <w:rPr>
          <w:b/>
          <w:bCs/>
          <w:color w:val="C4902A"/>
          <w:sz w:val="24"/>
          <w:szCs w:val="24"/>
        </w:rPr>
        <w:t>2100 万人</w:t>
      </w:r>
      <w:r>
        <w:rPr>
          <w:color w:val="1A1A2E"/>
          <w:sz w:val="22"/>
          <w:szCs w:val="22"/>
        </w:rPr>
        <w:t xml:space="preserve">，七年增长近 </w:t>
      </w:r>
      <w:r>
        <w:rPr>
          <w:b/>
          <w:bCs/>
          <w:color w:val="C4902A"/>
          <w:sz w:val="24"/>
          <w:szCs w:val="24"/>
        </w:rPr>
        <w:t>2.4 倍</w:t>
      </w:r>
      <w:r>
        <w:rPr>
          <w:color w:val="1A1A2E"/>
          <w:sz w:val="22"/>
          <w:szCs w:val="22"/>
        </w:rPr>
        <w:t>，人员增速远超经济规模增速。七年间，平台类夜间岗位持续扩容，传统夜班岗位保持稳定。随着行业竞争加剧，从业者的收入增长也逐步放缓。</w:t>
      </w:r>
    </w:p>
    <w:p w14:paraId="262866E5">
      <w:pPr>
        <w:spacing w:before="200" w:after="120"/>
        <w:jc w:val="center"/>
      </w:pPr>
      <w:r>
        <w:drawing>
          <wp:inline distT="0" distB="0" distL="0" distR="0">
            <wp:extent cx="4953000" cy="30480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CB4C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2019-2025 年夜间劳动者群体规模增长趋势</w:t>
      </w:r>
    </w:p>
    <w:p w14:paraId="4C9B6180">
      <w:pPr>
        <w:pStyle w:val="3"/>
        <w:spacing w:before="360" w:after="200"/>
      </w:pPr>
      <w:r>
        <w:rPr>
          <w:rFonts w:ascii="微软雅黑" w:hAnsi="微软雅黑" w:eastAsia="微软雅黑" w:cs="微软雅黑"/>
          <w:b/>
          <w:bCs/>
          <w:color w:val="E8891C"/>
          <w:sz w:val="28"/>
          <w:szCs w:val="28"/>
        </w:rPr>
        <w:t>3.3  保障反思：政策仍存完善空间</w:t>
      </w:r>
    </w:p>
    <w:p w14:paraId="68FF7B77">
      <w:pPr>
        <w:spacing w:before="120" w:after="120"/>
        <w:ind w:firstLine="440"/>
      </w:pPr>
      <w:r>
        <w:rPr>
          <w:color w:val="1A1A2E"/>
          <w:sz w:val="22"/>
          <w:szCs w:val="22"/>
        </w:rPr>
        <w:t>目前，</w:t>
      </w:r>
      <w:r>
        <w:rPr>
          <w:b/>
          <w:bCs/>
          <w:color w:val="E8891C"/>
          <w:sz w:val="24"/>
          <w:szCs w:val="24"/>
        </w:rPr>
        <w:t>绝大多数夜班岗位尚未纳入特殊工种名录</w:t>
      </w:r>
      <w:r>
        <w:rPr>
          <w:color w:val="1A1A2E"/>
          <w:sz w:val="22"/>
          <w:szCs w:val="22"/>
        </w:rPr>
        <w:t>，相关专项保障政策存在空白。受行业类型、用工模式影响，各地各岗位的保障标准并不统一，平台用工的权益保障问题尤为突出。现有政策仍需加快落地，企业的主体责任也亟待进一步压实。</w:t>
      </w:r>
    </w:p>
    <w:p w14:paraId="1AF7D643">
      <w:pPr>
        <w:spacing w:before="200" w:after="120"/>
        <w:jc w:val="center"/>
      </w:pPr>
      <w:r>
        <w:drawing>
          <wp:inline distT="0" distB="0" distL="0" distR="0">
            <wp:extent cx="3429635" cy="3460750"/>
            <wp:effectExtent l="0" t="0" r="14605" b="139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B576">
      <w:pPr>
        <w:spacing w:before="60" w:after="160"/>
        <w:jc w:val="center"/>
      </w:pPr>
      <w:r>
        <w:rPr>
          <w:rFonts w:ascii="微软雅黑" w:hAnsi="微软雅黑" w:eastAsia="微软雅黑" w:cs="微软雅黑"/>
          <w:i/>
          <w:iCs/>
          <w:color w:val="666666"/>
          <w:sz w:val="18"/>
          <w:szCs w:val="18"/>
        </w:rPr>
        <w:t>▲ 权益保障缺口分析</w:t>
      </w:r>
    </w:p>
    <w:p w14:paraId="53FF304A">
      <w:pPr>
        <w:pBdr>
          <w:bottom w:val="single" w:color="C4902A" w:sz="2" w:space="0"/>
        </w:pBdr>
        <w:spacing w:before="480" w:after="240"/>
      </w:pPr>
    </w:p>
    <w:p w14:paraId="2158E34E">
      <w:pPr>
        <w:pStyle w:val="2"/>
        <w:spacing w:before="360" w:after="240"/>
      </w:pPr>
      <w:r>
        <w:rPr>
          <w:rFonts w:ascii="微软雅黑" w:hAnsi="微软雅黑" w:eastAsia="微软雅黑" w:cs="微软雅黑"/>
          <w:b/>
          <w:bCs/>
          <w:color w:val="1A1A2E"/>
          <w:sz w:val="36"/>
          <w:szCs w:val="36"/>
        </w:rPr>
        <w:t>致敬夜色里的劳动者</w:t>
      </w:r>
    </w:p>
    <w:p w14:paraId="521C5801">
      <w:pPr>
        <w:spacing w:before="200" w:after="0"/>
      </w:pPr>
    </w:p>
    <w:p w14:paraId="6A00B36C">
      <w:pPr>
        <w:spacing w:before="200" w:after="120"/>
        <w:jc w:val="center"/>
      </w:pPr>
      <w:r>
        <w:rPr>
          <w:rFonts w:ascii="微软雅黑" w:hAnsi="微软雅黑" w:eastAsia="微软雅黑" w:cs="微软雅黑"/>
          <w:b/>
          <w:bCs/>
          <w:color w:val="E8891C"/>
          <w:sz w:val="26"/>
          <w:szCs w:val="26"/>
        </w:rPr>
        <w:t>每一份深夜里的劳动，都值得全社会尊重与善待。</w:t>
      </w:r>
    </w:p>
    <w:p w14:paraId="632A63D4">
      <w:pPr>
        <w:spacing w:before="100" w:after="0"/>
      </w:pPr>
    </w:p>
    <w:p w14:paraId="2AD20A61">
      <w:pPr>
        <w:spacing w:before="100" w:after="80"/>
      </w:pPr>
      <w:r>
        <w:rPr>
          <w:rFonts w:ascii="微软雅黑" w:hAnsi="微软雅黑" w:eastAsia="微软雅黑" w:cs="微软雅黑"/>
          <w:b/>
          <w:bCs/>
          <w:color w:val="1A1A2E"/>
          <w:sz w:val="22"/>
          <w:szCs w:val="22"/>
        </w:rPr>
        <w:t>在此呼吁：</w:t>
      </w:r>
    </w:p>
    <w:p w14:paraId="4225A361">
      <w:pPr>
        <w:pStyle w:val="16"/>
        <w:numPr>
          <w:ilvl w:val="0"/>
          <w:numId w:val="1"/>
        </w:numPr>
      </w:pPr>
      <w:r>
        <w:rPr>
          <w:color w:val="1A1A2E"/>
          <w:sz w:val="22"/>
          <w:szCs w:val="22"/>
        </w:rPr>
        <w:t>持续关注夜间劳动者的健康与权益</w:t>
      </w:r>
    </w:p>
    <w:p w14:paraId="13A0BA04">
      <w:pPr>
        <w:pStyle w:val="16"/>
        <w:numPr>
          <w:ilvl w:val="0"/>
          <w:numId w:val="1"/>
        </w:numPr>
      </w:pPr>
      <w:r>
        <w:rPr>
          <w:color w:val="1A1A2E"/>
          <w:sz w:val="22"/>
          <w:szCs w:val="22"/>
        </w:rPr>
        <w:t>加快完善相关保障制度</w:t>
      </w:r>
    </w:p>
    <w:p w14:paraId="3DC3D50F">
      <w:pPr>
        <w:pStyle w:val="16"/>
        <w:numPr>
          <w:ilvl w:val="0"/>
          <w:numId w:val="1"/>
        </w:numPr>
      </w:pPr>
      <w:r>
        <w:rPr>
          <w:color w:val="1A1A2E"/>
          <w:sz w:val="22"/>
          <w:szCs w:val="22"/>
        </w:rPr>
        <w:t>压实企业主体责任</w:t>
      </w:r>
    </w:p>
    <w:p w14:paraId="47FF06AF">
      <w:pPr>
        <w:pStyle w:val="16"/>
        <w:numPr>
          <w:ilvl w:val="0"/>
          <w:numId w:val="1"/>
        </w:numPr>
      </w:pPr>
      <w:r>
        <w:rPr>
          <w:color w:val="1A1A2E"/>
          <w:sz w:val="22"/>
          <w:szCs w:val="22"/>
        </w:rPr>
        <w:t>让深夜的每一份付出，都能收获对等的回报与温暖</w:t>
      </w:r>
    </w:p>
    <w:p w14:paraId="7E530F88">
      <w:pPr>
        <w:spacing w:before="300" w:after="0"/>
      </w:pPr>
    </w:p>
    <w:sectPr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AA745BB"/>
    <w:rsid w:val="76DE38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A1A2E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微软雅黑" w:hAnsi="微软雅黑" w:eastAsia="微软雅黑" w:cs="微软雅黑"/>
      <w:b/>
      <w:bCs/>
      <w:color w:val="1A1A2E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200"/>
      <w:outlineLvl w:val="1"/>
    </w:pPr>
    <w:rPr>
      <w:rFonts w:ascii="微软雅黑" w:hAnsi="微软雅黑" w:eastAsia="微软雅黑" w:cs="微软雅黑"/>
      <w:b/>
      <w:bCs/>
      <w:color w:val="E8891C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A1A2E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A1A2E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color w:val="1A1A2E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color w:val="1A1A2E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1959</Words>
  <Characters>2072</Characters>
  <TotalTime>1</TotalTime>
  <ScaleCrop>false</ScaleCrop>
  <LinksUpToDate>false</LinksUpToDate>
  <CharactersWithSpaces>2141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2026-06-24T08:21:00Z</dcterms:created>
  <dc:creator>Un-named</dc:creator>
  <cp:lastModifiedBy>锤炼</cp:lastModifiedBy>
  <dcterms:modified xsi:type="dcterms:W3CDTF">2026-06-24T08:25:56Z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eyJoZGlkIjoiMzEwNTM5NzYwMDRjMzkwZTVkZjY2ODkwMGIxNGU0OTUiLCJ1c2VySWQiOiIxNjM5MzQ4OTM0In0=</vt:lpwstr>
  </property>
  <property fmtid="{D5CDD505-2E9C-101B-9397-08002B2CF9AE}" pid="3" name="KSOProductBuildVer">
    <vt:lpwstr>2052-12.1.0.26895</vt:lpwstr>
  </property>
  <property fmtid="{D5CDD505-2E9C-101B-9397-08002B2CF9AE}" pid="4" name="ICV">
    <vt:lpwstr>07B3509D481E454689BC153EB22CDDAF_12</vt:lpwstr>
  </property>
</Properties>
</file>